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57" w:rsidRPr="00BC282E" w:rsidRDefault="003D1A57" w:rsidP="00AE28C5">
      <w:pPr>
        <w:tabs>
          <w:tab w:val="left" w:pos="425"/>
        </w:tabs>
        <w:ind w:left="6766"/>
        <w:jc w:val="left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2154EB" w:rsidRDefault="002154EB" w:rsidP="003D1A57">
      <w:pPr>
        <w:ind w:left="6803"/>
        <w:jc w:val="left"/>
        <w:rPr>
          <w:rFonts w:cs="David"/>
          <w:sz w:val="24"/>
          <w:szCs w:val="24"/>
          <w:rtl/>
        </w:rPr>
      </w:pPr>
      <w:bookmarkStart w:id="1" w:name="Adding02"/>
      <w:bookmarkEnd w:id="1"/>
      <w:r>
        <w:rPr>
          <w:rFonts w:cs="David"/>
          <w:sz w:val="24"/>
          <w:szCs w:val="24"/>
          <w:rtl/>
        </w:rPr>
        <w:t>י"ג בסיון התשע"ג</w:t>
      </w:r>
      <w:r>
        <w:rPr>
          <w:rFonts w:cs="David"/>
          <w:sz w:val="24"/>
          <w:szCs w:val="24"/>
          <w:rtl/>
        </w:rPr>
        <w:br/>
        <w:t>22 במאי 2013</w:t>
      </w:r>
    </w:p>
    <w:p w:rsidR="003D1A57" w:rsidRPr="00BC282E" w:rsidRDefault="003D1A57" w:rsidP="003D1A57">
      <w:pPr>
        <w:ind w:left="6803"/>
        <w:jc w:val="left"/>
        <w:rPr>
          <w:rFonts w:cs="David"/>
          <w:sz w:val="24"/>
          <w:szCs w:val="24"/>
          <w:rtl/>
        </w:rPr>
      </w:pPr>
    </w:p>
    <w:p w:rsidR="002154EB" w:rsidRDefault="002154EB" w:rsidP="003D1A57">
      <w:pPr>
        <w:ind w:left="6803"/>
        <w:jc w:val="left"/>
        <w:rPr>
          <w:rFonts w:cs="David"/>
          <w:sz w:val="24"/>
          <w:szCs w:val="24"/>
          <w:rtl/>
        </w:rPr>
      </w:pPr>
      <w:bookmarkStart w:id="2" w:name="Adding06"/>
      <w:bookmarkEnd w:id="2"/>
      <w:r>
        <w:rPr>
          <w:rFonts w:cs="David"/>
          <w:sz w:val="24"/>
          <w:szCs w:val="24"/>
          <w:rtl/>
        </w:rPr>
        <w:t>חוזר גופים מוסדיים 2013-9-6</w:t>
      </w:r>
      <w:r>
        <w:rPr>
          <w:rFonts w:cs="David"/>
          <w:sz w:val="24"/>
          <w:szCs w:val="24"/>
          <w:rtl/>
        </w:rPr>
        <w:br/>
        <w:t>סיווג: כללי</w:t>
      </w:r>
    </w:p>
    <w:p w:rsidR="003D1A57" w:rsidRPr="00BC282E" w:rsidRDefault="003D1A57" w:rsidP="003D1A57">
      <w:pPr>
        <w:ind w:left="7478"/>
        <w:jc w:val="left"/>
        <w:rPr>
          <w:rFonts w:cs="David"/>
          <w:sz w:val="24"/>
          <w:szCs w:val="24"/>
          <w:rtl/>
        </w:rPr>
      </w:pPr>
    </w:p>
    <w:p w:rsidR="003D1A57" w:rsidRPr="00BC282E" w:rsidRDefault="003D1A57" w:rsidP="003D1A57">
      <w:pPr>
        <w:ind w:left="7511"/>
        <w:jc w:val="left"/>
        <w:rPr>
          <w:rFonts w:cs="David"/>
          <w:sz w:val="24"/>
          <w:szCs w:val="24"/>
          <w:rtl/>
        </w:rPr>
      </w:pPr>
    </w:p>
    <w:p w:rsidR="003D1A57" w:rsidRPr="00D06A1A" w:rsidRDefault="002154EB" w:rsidP="003D1A57">
      <w:pPr>
        <w:ind w:left="651" w:hanging="651"/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3" w:name="About"/>
      <w:bookmarkEnd w:id="3"/>
      <w:r>
        <w:rPr>
          <w:rFonts w:cs="David"/>
          <w:b/>
          <w:bCs/>
          <w:sz w:val="28"/>
          <w:szCs w:val="28"/>
          <w:u w:val="single"/>
          <w:rtl/>
        </w:rPr>
        <w:t>תשלום עבור שימוש במערכת סליקה פנסיונית מרכזית</w:t>
      </w:r>
    </w:p>
    <w:p w:rsidR="003D1A57" w:rsidRPr="00BC282E" w:rsidRDefault="002154EB" w:rsidP="00BC282E">
      <w:pPr>
        <w:spacing w:line="360" w:lineRule="auto"/>
        <w:rPr>
          <w:rFonts w:cs="David"/>
          <w:sz w:val="24"/>
          <w:szCs w:val="24"/>
          <w:rtl/>
        </w:rPr>
      </w:pPr>
      <w:bookmarkStart w:id="4" w:name="reference"/>
      <w:bookmarkEnd w:id="4"/>
      <w:r>
        <w:rPr>
          <w:rFonts w:cs="David"/>
          <w:sz w:val="24"/>
          <w:szCs w:val="24"/>
          <w:rtl/>
        </w:rPr>
        <w:t xml:space="preserve"> </w:t>
      </w:r>
    </w:p>
    <w:p w:rsidR="00BC282E" w:rsidRPr="00BC282E" w:rsidRDefault="00BC282E" w:rsidP="00BC282E">
      <w:pPr>
        <w:spacing w:line="360" w:lineRule="auto"/>
        <w:rPr>
          <w:rFonts w:cs="David"/>
          <w:sz w:val="24"/>
          <w:szCs w:val="24"/>
          <w:rtl/>
        </w:rPr>
      </w:pPr>
      <w:bookmarkStart w:id="5" w:name="Start"/>
      <w:bookmarkEnd w:id="5"/>
      <w:r w:rsidRPr="00BC282E">
        <w:rPr>
          <w:rFonts w:cs="David" w:hint="eastAsia"/>
          <w:sz w:val="24"/>
          <w:szCs w:val="24"/>
          <w:rtl/>
        </w:rPr>
        <w:t>בתוקף</w:t>
      </w:r>
      <w:r w:rsidRPr="00BC282E">
        <w:rPr>
          <w:rFonts w:cs="David"/>
          <w:sz w:val="24"/>
          <w:szCs w:val="24"/>
          <w:rtl/>
        </w:rPr>
        <w:t xml:space="preserve"> סמכותי לפי סעיף 31יד(א)(1) לחוק הפיקוח על שירותים פיננסיים (ייעוץ, שיווק ומערכת סליקה פנסיוניים), התשס"ה-2005 (להלן</w:t>
      </w:r>
      <w:r w:rsidRPr="00BC282E">
        <w:rPr>
          <w:rFonts w:cs="David" w:hint="cs"/>
          <w:sz w:val="24"/>
          <w:szCs w:val="24"/>
          <w:rtl/>
        </w:rPr>
        <w:t xml:space="preserve">: </w:t>
      </w:r>
      <w:r w:rsidRPr="00BC282E">
        <w:rPr>
          <w:rFonts w:cs="David" w:hint="cs"/>
          <w:b/>
          <w:bCs/>
          <w:sz w:val="24"/>
          <w:szCs w:val="24"/>
          <w:rtl/>
        </w:rPr>
        <w:t>"</w:t>
      </w:r>
      <w:r w:rsidRPr="00BC282E">
        <w:rPr>
          <w:rFonts w:cs="David" w:hint="eastAsia"/>
          <w:b/>
          <w:bCs/>
          <w:sz w:val="24"/>
          <w:szCs w:val="24"/>
          <w:rtl/>
        </w:rPr>
        <w:t>חוק</w:t>
      </w:r>
      <w:r w:rsidRPr="00BC282E">
        <w:rPr>
          <w:rFonts w:cs="David"/>
          <w:b/>
          <w:bCs/>
          <w:sz w:val="24"/>
          <w:szCs w:val="24"/>
          <w:rtl/>
        </w:rPr>
        <w:t xml:space="preserve"> </w:t>
      </w:r>
      <w:r w:rsidRPr="00BC282E">
        <w:rPr>
          <w:rFonts w:cs="David" w:hint="eastAsia"/>
          <w:b/>
          <w:bCs/>
          <w:sz w:val="24"/>
          <w:szCs w:val="24"/>
          <w:rtl/>
        </w:rPr>
        <w:t>הייעוץ</w:t>
      </w:r>
      <w:r w:rsidRPr="00BC282E">
        <w:rPr>
          <w:rFonts w:cs="David"/>
          <w:b/>
          <w:bCs/>
          <w:sz w:val="24"/>
          <w:szCs w:val="24"/>
          <w:rtl/>
        </w:rPr>
        <w:t xml:space="preserve"> </w:t>
      </w:r>
      <w:r w:rsidRPr="00BC282E">
        <w:rPr>
          <w:rFonts w:cs="David" w:hint="eastAsia"/>
          <w:b/>
          <w:bCs/>
          <w:sz w:val="24"/>
          <w:szCs w:val="24"/>
          <w:rtl/>
        </w:rPr>
        <w:t>הפנסיוני</w:t>
      </w:r>
      <w:r w:rsidRPr="00BC282E">
        <w:rPr>
          <w:rFonts w:cs="David" w:hint="cs"/>
          <w:sz w:val="24"/>
          <w:szCs w:val="24"/>
          <w:rtl/>
        </w:rPr>
        <w:t>"</w:t>
      </w:r>
      <w:r w:rsidRPr="00BC282E">
        <w:rPr>
          <w:rFonts w:cs="David"/>
          <w:sz w:val="24"/>
          <w:szCs w:val="24"/>
          <w:rtl/>
        </w:rPr>
        <w:t xml:space="preserve">), </w:t>
      </w:r>
      <w:r w:rsidRPr="00BC282E">
        <w:rPr>
          <w:rFonts w:cs="David" w:hint="cs"/>
          <w:sz w:val="24"/>
          <w:szCs w:val="24"/>
          <w:rtl/>
        </w:rPr>
        <w:t>להלן הוראותיי</w:t>
      </w:r>
      <w:r w:rsidRPr="00BC282E">
        <w:rPr>
          <w:rFonts w:cs="David"/>
          <w:sz w:val="24"/>
          <w:szCs w:val="24"/>
          <w:rtl/>
        </w:rPr>
        <w:t>:</w:t>
      </w:r>
    </w:p>
    <w:p w:rsidR="00BC282E" w:rsidRPr="00BC282E" w:rsidRDefault="00BC282E" w:rsidP="00BC282E">
      <w:pPr>
        <w:pStyle w:val="Heading2"/>
        <w:widowControl/>
        <w:numPr>
          <w:ilvl w:val="0"/>
          <w:numId w:val="10"/>
        </w:numPr>
        <w:spacing w:before="240" w:after="60" w:line="240" w:lineRule="auto"/>
        <w:ind w:left="424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>כללי</w:t>
      </w:r>
    </w:p>
    <w:p w:rsidR="00BC282E" w:rsidRPr="00BC282E" w:rsidRDefault="00BC282E" w:rsidP="00BC282E">
      <w:pPr>
        <w:spacing w:before="120" w:line="360" w:lineRule="auto"/>
        <w:ind w:left="424"/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</w:pPr>
      <w:r w:rsidRPr="00BC282E">
        <w:rPr>
          <w:rFonts w:cs="David" w:hint="cs"/>
          <w:color w:val="000000"/>
          <w:sz w:val="24"/>
          <w:szCs w:val="24"/>
          <w:rtl/>
        </w:rPr>
        <w:t>כדי</w:t>
      </w:r>
      <w:r w:rsidRPr="00BC282E">
        <w:rPr>
          <w:rFonts w:cs="David"/>
          <w:color w:val="000000"/>
          <w:sz w:val="24"/>
          <w:szCs w:val="24"/>
          <w:rtl/>
        </w:rPr>
        <w:t xml:space="preserve"> </w:t>
      </w:r>
      <w:r w:rsidRPr="00BC282E">
        <w:rPr>
          <w:rFonts w:cs="David" w:hint="cs"/>
          <w:color w:val="000000"/>
          <w:sz w:val="24"/>
          <w:szCs w:val="24"/>
          <w:rtl/>
        </w:rPr>
        <w:t>ליעל</w:t>
      </w:r>
      <w:r w:rsidRPr="00BC282E">
        <w:rPr>
          <w:rFonts w:cs="David"/>
          <w:color w:val="000000"/>
          <w:sz w:val="24"/>
          <w:szCs w:val="24"/>
          <w:rtl/>
        </w:rPr>
        <w:t xml:space="preserve"> </w:t>
      </w:r>
      <w:r w:rsidRPr="00BC282E">
        <w:rPr>
          <w:rFonts w:cs="David" w:hint="cs"/>
          <w:color w:val="000000"/>
          <w:sz w:val="24"/>
          <w:szCs w:val="24"/>
          <w:rtl/>
        </w:rPr>
        <w:t xml:space="preserve">את </w:t>
      </w:r>
      <w:r w:rsidRPr="00BC282E">
        <w:rPr>
          <w:rFonts w:cs="David"/>
          <w:color w:val="000000"/>
          <w:sz w:val="24"/>
          <w:szCs w:val="24"/>
          <w:rtl/>
        </w:rPr>
        <w:t>ענף החיסכון הפנסיוני ו</w:t>
      </w:r>
      <w:r w:rsidRPr="00BC282E">
        <w:rPr>
          <w:rFonts w:cs="David" w:hint="cs"/>
          <w:color w:val="000000"/>
          <w:sz w:val="24"/>
          <w:szCs w:val="24"/>
          <w:rtl/>
        </w:rPr>
        <w:t>ל</w:t>
      </w:r>
      <w:r w:rsidRPr="00BC282E">
        <w:rPr>
          <w:rFonts w:cs="David"/>
          <w:color w:val="000000"/>
          <w:sz w:val="24"/>
          <w:szCs w:val="24"/>
          <w:rtl/>
        </w:rPr>
        <w:t xml:space="preserve">הפכו לדיגיטלי, </w:t>
      </w:r>
      <w:r w:rsidRPr="00BC282E">
        <w:rPr>
          <w:rFonts w:cs="David" w:hint="cs"/>
          <w:color w:val="000000"/>
          <w:sz w:val="24"/>
          <w:szCs w:val="24"/>
          <w:rtl/>
        </w:rPr>
        <w:t xml:space="preserve">החליט </w:t>
      </w:r>
      <w:r w:rsidRPr="00BC282E">
        <w:rPr>
          <w:rFonts w:cs="David"/>
          <w:color w:val="000000"/>
          <w:sz w:val="24"/>
          <w:szCs w:val="24"/>
          <w:rtl/>
        </w:rPr>
        <w:t xml:space="preserve">הממונה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על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שוק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ההון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,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ביטוח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וחיסכון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במשרד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האוצר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(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להלן: "</w:t>
      </w:r>
      <w:r w:rsidRPr="00BC282E">
        <w:rPr>
          <w:rFonts w:ascii="Arial Narrow" w:eastAsia="Calibri" w:hAnsi="Arial Narrow" w:cs="David" w:hint="cs"/>
          <w:b/>
          <w:bCs/>
          <w:color w:val="000000"/>
          <w:sz w:val="24"/>
          <w:szCs w:val="24"/>
          <w:rtl/>
          <w:lang w:eastAsia="en-US"/>
        </w:rPr>
        <w:t>הממונה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") להעניק רישיון להפעלת מערכת סליקה פנסיונית מרכזית במכרז, בו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תיבחר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חברה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להקמתה</w:t>
      </w:r>
      <w:r w:rsidRPr="00BC282E">
        <w:rPr>
          <w:rFonts w:ascii="Arial Narrow" w:eastAsia="Calibri" w:hAnsi="Arial Narrow" w:cs="David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והפעלתה. בארבעה באוגוסט 2012 הודיע הממונה על שוק ההון על בחירת חברת נס טכנולוגיות בע"מ להקמה ולתפעול מערכת סליקה פנסיונית מרכזית</w:t>
      </w:r>
      <w:r w:rsidRPr="00BC282E" w:rsidDel="00F26E7C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 xml:space="preserve">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באמצעות סוויפטנס בע"מ, חברת בת ייעודית (להלן: "</w:t>
      </w:r>
      <w:r w:rsidRPr="00BC282E">
        <w:rPr>
          <w:rFonts w:ascii="Arial Narrow" w:eastAsia="Calibri" w:hAnsi="Arial Narrow" w:cs="David" w:hint="cs"/>
          <w:b/>
          <w:bCs/>
          <w:color w:val="000000"/>
          <w:sz w:val="24"/>
          <w:szCs w:val="24"/>
          <w:rtl/>
          <w:lang w:eastAsia="en-US"/>
        </w:rPr>
        <w:t>סוויפטנס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 xml:space="preserve">").  </w:t>
      </w:r>
    </w:p>
    <w:p w:rsidR="00BC282E" w:rsidRPr="00BC282E" w:rsidRDefault="00BC282E" w:rsidP="00AE28C5">
      <w:pPr>
        <w:spacing w:before="120" w:line="360" w:lineRule="auto"/>
        <w:ind w:left="425"/>
        <w:rPr>
          <w:rFonts w:cs="David"/>
          <w:b/>
          <w:bCs/>
          <w:sz w:val="24"/>
          <w:szCs w:val="24"/>
          <w:rtl/>
        </w:rPr>
      </w:pPr>
      <w:r w:rsidRPr="00BC282E">
        <w:rPr>
          <w:rFonts w:cs="David"/>
          <w:sz w:val="24"/>
          <w:szCs w:val="24"/>
          <w:rtl/>
        </w:rPr>
        <w:t>חוזר 2012-9-</w:t>
      </w:r>
      <w:r w:rsidRPr="00BC282E">
        <w:rPr>
          <w:rFonts w:cs="David" w:hint="cs"/>
          <w:sz w:val="24"/>
          <w:szCs w:val="24"/>
          <w:rtl/>
        </w:rPr>
        <w:t>13</w:t>
      </w:r>
      <w:r w:rsidRPr="00BC282E">
        <w:rPr>
          <w:rFonts w:cs="David"/>
          <w:sz w:val="24"/>
          <w:szCs w:val="24"/>
          <w:rtl/>
        </w:rPr>
        <w:t xml:space="preserve"> שעניינו חובת שימוש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מערכת סליקה פנסיונית מרכזית</w:t>
      </w:r>
      <w:r w:rsidRPr="00BC282E">
        <w:rPr>
          <w:rFonts w:cs="David" w:hint="cs"/>
          <w:sz w:val="24"/>
          <w:szCs w:val="24"/>
          <w:rtl/>
        </w:rPr>
        <w:t>,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ק</w:t>
      </w:r>
      <w:r w:rsidRPr="00BC282E">
        <w:rPr>
          <w:rFonts w:cs="David" w:hint="cs"/>
          <w:sz w:val="24"/>
          <w:szCs w:val="24"/>
          <w:rtl/>
        </w:rPr>
        <w:t>ו</w:t>
      </w:r>
      <w:r w:rsidRPr="00BC282E">
        <w:rPr>
          <w:rFonts w:cs="David" w:hint="eastAsia"/>
          <w:sz w:val="24"/>
          <w:szCs w:val="24"/>
          <w:rtl/>
        </w:rPr>
        <w:t>בע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כי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גופים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מוסדיים</w:t>
      </w:r>
      <w:r w:rsidRPr="00BC282E">
        <w:rPr>
          <w:rFonts w:cs="David"/>
          <w:sz w:val="24"/>
          <w:szCs w:val="24"/>
          <w:rtl/>
        </w:rPr>
        <w:t xml:space="preserve"> ובעלי רישיון </w:t>
      </w:r>
      <w:r w:rsidRPr="00BC282E">
        <w:rPr>
          <w:rFonts w:cs="David" w:hint="cs"/>
          <w:sz w:val="24"/>
          <w:szCs w:val="24"/>
          <w:rtl/>
        </w:rPr>
        <w:t xml:space="preserve">ישתמשו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במערכת סליקה פנסיונית מרכזית</w:t>
      </w:r>
      <w:r w:rsidRPr="00BC282E">
        <w:rPr>
          <w:rFonts w:cs="David" w:hint="eastAsia"/>
          <w:sz w:val="24"/>
          <w:szCs w:val="24"/>
          <w:rtl/>
        </w:rPr>
        <w:t xml:space="preserve"> בתנאים</w:t>
      </w:r>
      <w:r w:rsidRPr="00BC282E">
        <w:rPr>
          <w:rFonts w:cs="David"/>
          <w:sz w:val="24"/>
          <w:szCs w:val="24"/>
          <w:rtl/>
        </w:rPr>
        <w:t xml:space="preserve"> המפורטים בו. </w:t>
      </w:r>
      <w:r w:rsidRPr="00BC282E">
        <w:rPr>
          <w:rFonts w:cs="David" w:hint="cs"/>
          <w:sz w:val="24"/>
          <w:szCs w:val="24"/>
          <w:rtl/>
        </w:rPr>
        <w:t>החוזר קובע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הוראות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ל</w:t>
      </w:r>
      <w:r w:rsidRPr="00BC282E">
        <w:rPr>
          <w:rFonts w:cs="David" w:hint="cs"/>
          <w:sz w:val="24"/>
          <w:szCs w:val="24"/>
          <w:rtl/>
        </w:rPr>
        <w:t xml:space="preserve">גבי </w:t>
      </w:r>
      <w:r w:rsidRPr="00BC282E">
        <w:rPr>
          <w:rFonts w:cs="David" w:hint="eastAsia"/>
          <w:sz w:val="24"/>
          <w:szCs w:val="24"/>
          <w:rtl/>
        </w:rPr>
        <w:t>דמי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שימוש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ש</w:t>
      </w:r>
      <w:r w:rsidRPr="00BC282E">
        <w:rPr>
          <w:rFonts w:cs="David" w:hint="cs"/>
          <w:sz w:val="24"/>
          <w:szCs w:val="24"/>
          <w:rtl/>
        </w:rPr>
        <w:t>סוויפטנס</w:t>
      </w:r>
      <w:r w:rsidRPr="00BC282E">
        <w:rPr>
          <w:rFonts w:ascii="Arial Narrow" w:eastAsia="Calibri" w:hAnsi="Arial Narrow" w:cs="David"/>
          <w:b/>
          <w:bCs/>
          <w:color w:val="000000"/>
          <w:sz w:val="24"/>
          <w:szCs w:val="24"/>
          <w:lang w:eastAsia="en-US"/>
        </w:rPr>
        <w:t xml:space="preserve"> </w:t>
      </w:r>
      <w:r w:rsidRPr="00BC282E">
        <w:rPr>
          <w:rFonts w:cs="David"/>
          <w:sz w:val="24"/>
          <w:szCs w:val="24"/>
          <w:rtl/>
        </w:rPr>
        <w:t>רשאית לגבות ממשתמשים בה, והסדרי תשלום</w:t>
      </w:r>
      <w:r w:rsidRPr="00BC282E">
        <w:rPr>
          <w:rFonts w:cs="David" w:hint="cs"/>
          <w:sz w:val="24"/>
          <w:szCs w:val="24"/>
          <w:rtl/>
        </w:rPr>
        <w:t xml:space="preserve"> של דמי השימוש, באישור הממונה</w:t>
      </w:r>
      <w:r w:rsidRPr="00BC282E">
        <w:rPr>
          <w:rFonts w:cs="David"/>
          <w:sz w:val="24"/>
          <w:szCs w:val="24"/>
          <w:rtl/>
        </w:rPr>
        <w:t xml:space="preserve">. </w:t>
      </w:r>
    </w:p>
    <w:p w:rsidR="00BC282E" w:rsidRPr="00BC282E" w:rsidRDefault="00BC282E" w:rsidP="00BC282E">
      <w:pPr>
        <w:pStyle w:val="Heading2"/>
        <w:widowControl/>
        <w:numPr>
          <w:ilvl w:val="0"/>
          <w:numId w:val="10"/>
        </w:numPr>
        <w:spacing w:before="240" w:after="60" w:line="240" w:lineRule="auto"/>
        <w:ind w:left="424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>הגדרות</w:t>
      </w:r>
    </w:p>
    <w:p w:rsidR="00BC282E" w:rsidRPr="00BC282E" w:rsidRDefault="00BC282E" w:rsidP="00BC282E">
      <w:pPr>
        <w:spacing w:line="360" w:lineRule="auto"/>
        <w:ind w:left="424" w:hanging="149"/>
        <w:rPr>
          <w:rFonts w:cs="David"/>
          <w:sz w:val="24"/>
          <w:szCs w:val="24"/>
          <w:rtl/>
        </w:rPr>
      </w:pPr>
      <w:r w:rsidRPr="00BC282E">
        <w:rPr>
          <w:rFonts w:cs="David"/>
          <w:b/>
          <w:bCs/>
          <w:sz w:val="24"/>
          <w:szCs w:val="24"/>
          <w:rtl/>
        </w:rPr>
        <w:t xml:space="preserve">"דמי שימוש" </w:t>
      </w:r>
      <w:r w:rsidRPr="00BC282E">
        <w:rPr>
          <w:rFonts w:cs="David" w:hint="cs"/>
          <w:sz w:val="24"/>
          <w:szCs w:val="24"/>
          <w:rtl/>
        </w:rPr>
        <w:t>-</w:t>
      </w:r>
      <w:r w:rsidRPr="00BC282E">
        <w:rPr>
          <w:rFonts w:cs="David"/>
          <w:b/>
          <w:bCs/>
          <w:sz w:val="24"/>
          <w:szCs w:val="24"/>
          <w:rtl/>
        </w:rPr>
        <w:t xml:space="preserve"> </w:t>
      </w:r>
      <w:r w:rsidRPr="00BC282E">
        <w:rPr>
          <w:rFonts w:cs="David"/>
          <w:sz w:val="24"/>
          <w:szCs w:val="24"/>
          <w:rtl/>
        </w:rPr>
        <w:t>תשלומים</w:t>
      </w:r>
      <w:r w:rsidRPr="00BC282E">
        <w:rPr>
          <w:rFonts w:cs="David" w:hint="cs"/>
          <w:sz w:val="24"/>
          <w:szCs w:val="24"/>
          <w:rtl/>
        </w:rPr>
        <w:t xml:space="preserve"> שרשאית סוויפטנס לגבות ממשתמשים עבור שימוש ב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מערכת סליקה פנסיונית מרכזית</w:t>
      </w:r>
      <w:r w:rsidRPr="00BC282E">
        <w:rPr>
          <w:rFonts w:cs="David" w:hint="cs"/>
          <w:sz w:val="24"/>
          <w:szCs w:val="24"/>
          <w:rtl/>
        </w:rPr>
        <w:t>.</w:t>
      </w:r>
    </w:p>
    <w:p w:rsidR="00BC282E" w:rsidRPr="00BC282E" w:rsidRDefault="00BC282E" w:rsidP="00BC282E">
      <w:pPr>
        <w:spacing w:line="360" w:lineRule="auto"/>
        <w:ind w:left="424" w:hanging="149"/>
        <w:rPr>
          <w:rFonts w:cs="David"/>
          <w:sz w:val="24"/>
          <w:szCs w:val="24"/>
          <w:rtl/>
        </w:rPr>
      </w:pPr>
      <w:r w:rsidRPr="00BC282E">
        <w:rPr>
          <w:rFonts w:cs="David" w:hint="cs"/>
          <w:b/>
          <w:bCs/>
          <w:sz w:val="24"/>
          <w:szCs w:val="24"/>
          <w:rtl/>
        </w:rPr>
        <w:t xml:space="preserve">"מועד ההפעלה המלאה" </w:t>
      </w:r>
      <w:r w:rsidRPr="00BC282E">
        <w:rPr>
          <w:rFonts w:cs="David" w:hint="cs"/>
          <w:sz w:val="24"/>
          <w:szCs w:val="24"/>
          <w:rtl/>
        </w:rPr>
        <w:t>-</w:t>
      </w:r>
      <w:r w:rsidRPr="00BC282E">
        <w:rPr>
          <w:rFonts w:cs="David"/>
          <w:b/>
          <w:bCs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 xml:space="preserve">המועד שקבע הממונה, בו תתאפשר הפעלה מלאה של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מערכת סליקה פנסיונית מרכזית</w:t>
      </w:r>
      <w:r w:rsidRPr="00BC282E">
        <w:rPr>
          <w:rFonts w:cs="David" w:hint="cs"/>
          <w:sz w:val="24"/>
          <w:szCs w:val="24"/>
          <w:rtl/>
        </w:rPr>
        <w:t>.</w:t>
      </w:r>
    </w:p>
    <w:p w:rsidR="00BC282E" w:rsidRPr="00BC282E" w:rsidRDefault="00BC282E" w:rsidP="00BC282E">
      <w:pPr>
        <w:spacing w:line="360" w:lineRule="auto"/>
        <w:ind w:left="424" w:hanging="149"/>
        <w:rPr>
          <w:rFonts w:cs="David"/>
          <w:sz w:val="24"/>
          <w:szCs w:val="24"/>
          <w:rtl/>
        </w:rPr>
      </w:pPr>
      <w:r w:rsidRPr="00BC282E">
        <w:rPr>
          <w:rFonts w:cs="David" w:hint="cs"/>
          <w:b/>
          <w:bCs/>
          <w:sz w:val="24"/>
          <w:szCs w:val="24"/>
          <w:rtl/>
        </w:rPr>
        <w:t xml:space="preserve">"מדד" </w:t>
      </w:r>
      <w:r w:rsidRPr="00BC282E">
        <w:rPr>
          <w:rFonts w:cs="David" w:hint="cs"/>
          <w:sz w:val="24"/>
          <w:szCs w:val="24"/>
          <w:rtl/>
        </w:rPr>
        <w:t>-</w:t>
      </w:r>
      <w:r w:rsidRPr="00BC282E">
        <w:rPr>
          <w:rFonts w:cs="David" w:hint="cs"/>
          <w:b/>
          <w:bCs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כהגדרתו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>בפקודת מס הכנסה (נוסח חדש), התשכ"א-1961.</w:t>
      </w:r>
    </w:p>
    <w:p w:rsidR="00BC282E" w:rsidRPr="00BC282E" w:rsidRDefault="00BC282E" w:rsidP="00BC282E">
      <w:pPr>
        <w:spacing w:line="360" w:lineRule="auto"/>
        <w:ind w:left="424" w:hanging="149"/>
        <w:rPr>
          <w:rFonts w:cs="David"/>
          <w:sz w:val="24"/>
          <w:szCs w:val="24"/>
          <w:rtl/>
        </w:rPr>
      </w:pPr>
      <w:r w:rsidRPr="00BC282E">
        <w:rPr>
          <w:rFonts w:cs="David" w:hint="cs"/>
          <w:b/>
          <w:bCs/>
          <w:sz w:val="24"/>
          <w:szCs w:val="24"/>
          <w:rtl/>
        </w:rPr>
        <w:t xml:space="preserve">"משתמש שאינו גוף מוסדי" </w:t>
      </w:r>
      <w:r w:rsidRPr="00BC282E">
        <w:rPr>
          <w:rFonts w:cs="David" w:hint="cs"/>
          <w:sz w:val="24"/>
          <w:szCs w:val="24"/>
          <w:rtl/>
        </w:rPr>
        <w:t>- משתמש במערכת סליקה פנסיונית מרכזית שהוא אחד מאלה: מעביד, לקוח, יועץ פנסיוני, או סוכן פנסיוני, לרבות משווק פנסיוני.</w:t>
      </w:r>
    </w:p>
    <w:p w:rsidR="00BC282E" w:rsidRPr="00BC282E" w:rsidRDefault="00BC282E" w:rsidP="00BC282E">
      <w:pPr>
        <w:pStyle w:val="Heading2"/>
        <w:widowControl/>
        <w:numPr>
          <w:ilvl w:val="0"/>
          <w:numId w:val="10"/>
        </w:numPr>
        <w:spacing w:before="240" w:after="60" w:line="240" w:lineRule="auto"/>
        <w:ind w:left="424"/>
        <w:rPr>
          <w:rFonts w:cs="David"/>
          <w:sz w:val="24"/>
          <w:szCs w:val="24"/>
          <w:rtl/>
        </w:rPr>
      </w:pPr>
      <w:r w:rsidRPr="00BC282E">
        <w:rPr>
          <w:rFonts w:cs="David" w:hint="cs"/>
          <w:sz w:val="24"/>
          <w:szCs w:val="24"/>
          <w:rtl/>
        </w:rPr>
        <w:t>תשלום גוף מוסדי</w:t>
      </w:r>
    </w:p>
    <w:p w:rsidR="00AE28C5" w:rsidRDefault="00BC282E" w:rsidP="00D06A1A">
      <w:pPr>
        <w:numPr>
          <w:ilvl w:val="0"/>
          <w:numId w:val="9"/>
        </w:numPr>
        <w:spacing w:line="360" w:lineRule="auto"/>
        <w:ind w:left="709" w:hanging="284"/>
        <w:rPr>
          <w:rFonts w:cs="David"/>
          <w:sz w:val="24"/>
          <w:szCs w:val="24"/>
        </w:rPr>
      </w:pPr>
      <w:r w:rsidRPr="00AE28C5">
        <w:rPr>
          <w:rFonts w:cs="David" w:hint="cs"/>
          <w:sz w:val="24"/>
          <w:szCs w:val="24"/>
          <w:rtl/>
        </w:rPr>
        <w:t xml:space="preserve">גוף מוסדי ישלם לסוויפטנס, בתחילת כל שנה קלנדרית, דמי שימוש בסך 3,000₪ כולל מע"מ. </w:t>
      </w:r>
    </w:p>
    <w:p w:rsidR="00BC282E" w:rsidRPr="00AE28C5" w:rsidRDefault="00BC282E" w:rsidP="00D06A1A">
      <w:pPr>
        <w:numPr>
          <w:ilvl w:val="0"/>
          <w:numId w:val="9"/>
        </w:numPr>
        <w:spacing w:line="360" w:lineRule="auto"/>
        <w:ind w:left="709" w:hanging="284"/>
        <w:rPr>
          <w:rFonts w:cs="David"/>
          <w:sz w:val="24"/>
          <w:szCs w:val="24"/>
          <w:rtl/>
        </w:rPr>
      </w:pPr>
      <w:r w:rsidRPr="00AE28C5">
        <w:rPr>
          <w:rFonts w:cs="David" w:hint="cs"/>
          <w:sz w:val="24"/>
          <w:szCs w:val="24"/>
          <w:rtl/>
        </w:rPr>
        <w:t xml:space="preserve">התשלום הראשון יבוצע לא יאוחר מ- 30 ימים ממועד ההפעלה המלאה, לפי היחס שבין התקופה שבה פעלה מערכת סליקה פנסיונית מרכזית באותה שנה קלנדרית לבין 365 ימים:  </w:t>
      </w:r>
    </w:p>
    <w:p w:rsidR="00BC282E" w:rsidRPr="00BC282E" w:rsidRDefault="00BC282E" w:rsidP="00BC282E">
      <w:pPr>
        <w:ind w:left="424" w:hanging="273"/>
        <w:rPr>
          <w:rFonts w:cs="David"/>
          <w:sz w:val="24"/>
          <w:szCs w:val="24"/>
          <w:rtl/>
        </w:rPr>
      </w:pPr>
      <w:r w:rsidRPr="00BC282E">
        <w:rPr>
          <w:rFonts w:cs="David" w:hint="cs"/>
          <w:sz w:val="24"/>
          <w:szCs w:val="24"/>
          <w:rtl/>
        </w:rPr>
        <w:t xml:space="preserve">                </w:t>
      </w:r>
    </w:p>
    <w:p w:rsidR="00BC282E" w:rsidRPr="00BC282E" w:rsidRDefault="00B93DFA" w:rsidP="00BC282E">
      <w:pPr>
        <w:ind w:left="424" w:hanging="273"/>
        <w:jc w:val="center"/>
        <w:rPr>
          <w:rFonts w:cs="David"/>
          <w:sz w:val="24"/>
          <w:szCs w:val="24"/>
          <w:rtl/>
        </w:rPr>
      </w:pPr>
      <m:oMathPara>
        <m:oMath>
          <m:f>
            <m:fPr>
              <m:ctrlPr>
                <w:rPr>
                  <w:rFonts w:ascii="Cambria Math" w:eastAsia="Calibri" w:hAnsi="Cambria Math" w:cs="David"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בפועל הפעלה ימי מספר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365</m:t>
              </m:r>
            </m:den>
          </m:f>
        </m:oMath>
      </m:oMathPara>
    </w:p>
    <w:p w:rsidR="00BC282E" w:rsidRPr="00BC282E" w:rsidRDefault="00BC282E" w:rsidP="00BC282E">
      <w:pPr>
        <w:ind w:left="424" w:hanging="273"/>
        <w:jc w:val="center"/>
        <w:rPr>
          <w:rFonts w:cs="David"/>
          <w:sz w:val="24"/>
          <w:szCs w:val="24"/>
          <w:rtl/>
        </w:rPr>
      </w:pPr>
    </w:p>
    <w:p w:rsidR="00BC282E" w:rsidRPr="00BC282E" w:rsidRDefault="00BC282E" w:rsidP="00BC282E">
      <w:pPr>
        <w:ind w:left="424" w:hanging="273"/>
        <w:jc w:val="center"/>
        <w:rPr>
          <w:rFonts w:cs="David"/>
          <w:sz w:val="24"/>
          <w:szCs w:val="24"/>
          <w:rtl/>
        </w:rPr>
      </w:pPr>
    </w:p>
    <w:p w:rsidR="00BC282E" w:rsidRPr="00AE28C5" w:rsidRDefault="00BC282E" w:rsidP="00D06A1A">
      <w:pPr>
        <w:numPr>
          <w:ilvl w:val="0"/>
          <w:numId w:val="9"/>
        </w:numPr>
        <w:spacing w:line="360" w:lineRule="auto"/>
        <w:ind w:left="709" w:hanging="284"/>
        <w:rPr>
          <w:rFonts w:cs="David"/>
          <w:sz w:val="24"/>
          <w:szCs w:val="24"/>
          <w:rtl/>
        </w:rPr>
      </w:pPr>
      <w:r w:rsidRPr="00AE28C5">
        <w:rPr>
          <w:rFonts w:cs="David" w:hint="cs"/>
          <w:sz w:val="24"/>
          <w:szCs w:val="24"/>
          <w:rtl/>
        </w:rPr>
        <w:lastRenderedPageBreak/>
        <w:t>בשנה קלנדרית שבה</w:t>
      </w:r>
      <w:r w:rsidRPr="00AE28C5">
        <w:rPr>
          <w:rFonts w:cs="David"/>
          <w:sz w:val="24"/>
          <w:szCs w:val="24"/>
          <w:rtl/>
        </w:rPr>
        <w:t xml:space="preserve"> </w:t>
      </w:r>
      <w:r w:rsidRPr="00AE28C5">
        <w:rPr>
          <w:rFonts w:cs="David" w:hint="cs"/>
          <w:sz w:val="24"/>
          <w:szCs w:val="24"/>
          <w:rtl/>
        </w:rPr>
        <w:t>ה</w:t>
      </w:r>
      <w:r w:rsidRPr="00AE28C5">
        <w:rPr>
          <w:rFonts w:cs="David"/>
          <w:sz w:val="24"/>
          <w:szCs w:val="24"/>
          <w:rtl/>
        </w:rPr>
        <w:t xml:space="preserve">מדד עלה </w:t>
      </w:r>
      <w:r w:rsidRPr="00AE28C5">
        <w:rPr>
          <w:rFonts w:cs="David" w:hint="cs"/>
          <w:sz w:val="24"/>
          <w:szCs w:val="24"/>
          <w:rtl/>
        </w:rPr>
        <w:t>יותר מ-</w:t>
      </w:r>
      <w:r w:rsidRPr="00AE28C5">
        <w:rPr>
          <w:rFonts w:cs="David"/>
          <w:sz w:val="24"/>
          <w:szCs w:val="24"/>
          <w:rtl/>
        </w:rPr>
        <w:t xml:space="preserve"> 5%, </w:t>
      </w:r>
      <w:r w:rsidRPr="00AE28C5">
        <w:rPr>
          <w:rFonts w:cs="David" w:hint="cs"/>
          <w:sz w:val="24"/>
          <w:szCs w:val="24"/>
          <w:rtl/>
        </w:rPr>
        <w:t>יעודכנו דמי השימוש</w:t>
      </w:r>
      <w:r w:rsidRPr="00AE28C5">
        <w:rPr>
          <w:rFonts w:cs="David"/>
          <w:sz w:val="24"/>
          <w:szCs w:val="24"/>
          <w:rtl/>
        </w:rPr>
        <w:t xml:space="preserve"> בשיעור עליית המדד באותה שנה</w:t>
      </w:r>
      <w:r w:rsidRPr="00AE28C5">
        <w:rPr>
          <w:rFonts w:cs="David" w:hint="cs"/>
          <w:sz w:val="24"/>
          <w:szCs w:val="24"/>
          <w:rtl/>
        </w:rPr>
        <w:t>, ובלבד שעליית המדד חלה טרם הפעלת מנגנון העדכון כמפורט בסעיף 5.</w:t>
      </w:r>
      <w:r w:rsidRPr="00AE28C5">
        <w:rPr>
          <w:rFonts w:cs="David"/>
          <w:sz w:val="24"/>
          <w:szCs w:val="24"/>
          <w:rtl/>
        </w:rPr>
        <w:t xml:space="preserve"> </w:t>
      </w:r>
      <w:r w:rsidRPr="00AE28C5">
        <w:rPr>
          <w:rFonts w:cs="David" w:hint="cs"/>
          <w:sz w:val="24"/>
          <w:szCs w:val="24"/>
          <w:rtl/>
        </w:rPr>
        <w:t>על אף האמור, אם בשנה הראשונה להפעלת מערכת סליקה פנסיונית מרכזית, היא פעלה פחות משנה מלאה, יעודכנו דמי השימוש רק אם עלה שיעור המדד על 5% כפול היחס שבין התקופה שבה פעלה מערכת סליקה פנסיונית מרכזית באותה שנה קלנדרית לבין 365 ימים, לפי הנוסחה:</w:t>
      </w:r>
    </w:p>
    <w:p w:rsidR="00BC282E" w:rsidRPr="00BC282E" w:rsidRDefault="00BC282E" w:rsidP="00AE28C5">
      <w:pPr>
        <w:rPr>
          <w:rFonts w:cs="David"/>
          <w:sz w:val="24"/>
          <w:szCs w:val="24"/>
          <w:rtl/>
        </w:rPr>
      </w:pPr>
    </w:p>
    <w:p w:rsidR="00BC282E" w:rsidRPr="00A908F3" w:rsidRDefault="00B93DFA" w:rsidP="00BC282E">
      <w:pPr>
        <w:ind w:left="424" w:hanging="273"/>
        <w:jc w:val="center"/>
        <w:rPr>
          <w:rFonts w:cs="David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Calibri" w:hAnsi="Cambria Math" w:cs="David"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4"/>
                  <w:szCs w:val="24"/>
                  <w:rtl/>
                </w:rPr>
                <m:t>בפועל הפעלה ימי מספר</m:t>
              </m:r>
            </m:num>
            <m:den>
              <m:r>
                <w:rPr>
                  <w:rFonts w:ascii="Cambria Math" w:hAnsi="Cambria Math" w:cs="David"/>
                  <w:sz w:val="24"/>
                  <w:szCs w:val="24"/>
                </w:rPr>
                <m:t>365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24"/>
              <w:szCs w:val="24"/>
            </w:rPr>
            <m:t>×5%</m:t>
          </m:r>
        </m:oMath>
      </m:oMathPara>
    </w:p>
    <w:p w:rsidR="00BC282E" w:rsidRPr="00BC282E" w:rsidRDefault="00BC282E" w:rsidP="00BC282E">
      <w:pPr>
        <w:ind w:left="424"/>
        <w:rPr>
          <w:rFonts w:cs="David"/>
          <w:sz w:val="24"/>
          <w:szCs w:val="24"/>
          <w:rtl/>
        </w:rPr>
      </w:pPr>
    </w:p>
    <w:p w:rsidR="00BC282E" w:rsidRPr="00BC282E" w:rsidRDefault="00BC282E" w:rsidP="00BC282E">
      <w:pPr>
        <w:pStyle w:val="Heading2"/>
        <w:widowControl/>
        <w:numPr>
          <w:ilvl w:val="0"/>
          <w:numId w:val="10"/>
        </w:numPr>
        <w:spacing w:before="240" w:after="60" w:line="240" w:lineRule="auto"/>
        <w:ind w:left="424"/>
        <w:rPr>
          <w:rFonts w:cs="David"/>
          <w:sz w:val="24"/>
          <w:szCs w:val="24"/>
          <w:rtl/>
        </w:rPr>
      </w:pPr>
      <w:r w:rsidRPr="00BC282E">
        <w:rPr>
          <w:rFonts w:cs="David" w:hint="cs"/>
          <w:sz w:val="24"/>
          <w:szCs w:val="24"/>
          <w:rtl/>
        </w:rPr>
        <w:t xml:space="preserve">תשלום משתמש שאינו גוף מוסדי </w:t>
      </w:r>
    </w:p>
    <w:p w:rsidR="00BC282E" w:rsidRPr="00BC282E" w:rsidRDefault="00BC282E" w:rsidP="00D06A1A">
      <w:pPr>
        <w:numPr>
          <w:ilvl w:val="0"/>
          <w:numId w:val="13"/>
        </w:numPr>
        <w:spacing w:line="360" w:lineRule="auto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>דמי שימוש שישלם מי שאינו גוף מוסדי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 xml:space="preserve">בשנה הראשונה להפעלת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מערכת סליקה פנסיונית מרכזית</w:t>
      </w:r>
      <w:r w:rsidRPr="00BC282E">
        <w:rPr>
          <w:rFonts w:cs="David" w:hint="cs"/>
          <w:sz w:val="24"/>
          <w:szCs w:val="24"/>
          <w:rtl/>
        </w:rPr>
        <w:t>, לא יעלו על המחירים המפורטים במחירון הבסיסי (להלן: "</w:t>
      </w:r>
      <w:r w:rsidRPr="00BC282E">
        <w:rPr>
          <w:rFonts w:cs="David" w:hint="cs"/>
          <w:b/>
          <w:bCs/>
          <w:sz w:val="24"/>
          <w:szCs w:val="24"/>
          <w:rtl/>
        </w:rPr>
        <w:t>מחירון הבסיס</w:t>
      </w:r>
      <w:r w:rsidRPr="00BC282E">
        <w:rPr>
          <w:rFonts w:cs="David" w:hint="cs"/>
          <w:sz w:val="24"/>
          <w:szCs w:val="24"/>
          <w:rtl/>
        </w:rPr>
        <w:t xml:space="preserve">"), כמפורט בנספח א'. </w:t>
      </w:r>
    </w:p>
    <w:p w:rsidR="00BC282E" w:rsidRPr="00BC282E" w:rsidRDefault="00BC282E" w:rsidP="00D06A1A">
      <w:pPr>
        <w:numPr>
          <w:ilvl w:val="0"/>
          <w:numId w:val="13"/>
        </w:numPr>
        <w:spacing w:line="360" w:lineRule="auto"/>
        <w:ind w:left="709" w:hanging="284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 xml:space="preserve">מחירון הבסיס יעודכן לראשונה בתום שנה ממועד ההפעלה המלאה של </w:t>
      </w:r>
      <w:r w:rsidRPr="00AE28C5">
        <w:rPr>
          <w:rFonts w:cs="David" w:hint="cs"/>
          <w:sz w:val="24"/>
          <w:szCs w:val="24"/>
          <w:rtl/>
        </w:rPr>
        <w:t>מערכת סליקה פנסיונית מרכזית</w:t>
      </w:r>
      <w:r w:rsidRPr="00BC282E">
        <w:rPr>
          <w:rFonts w:cs="David" w:hint="cs"/>
          <w:sz w:val="24"/>
          <w:szCs w:val="24"/>
          <w:rtl/>
        </w:rPr>
        <w:t>, ולאחר מכן בתום כל שנה קלנדרית, בהתאם למנגנון העדכון הקבוע בסעיף 5 (להלן: "</w:t>
      </w:r>
      <w:r w:rsidRPr="00AE28C5">
        <w:rPr>
          <w:rFonts w:cs="David" w:hint="cs"/>
          <w:sz w:val="24"/>
          <w:szCs w:val="24"/>
          <w:rtl/>
        </w:rPr>
        <w:t>המחירון המעודכן</w:t>
      </w:r>
      <w:r w:rsidRPr="00BC282E">
        <w:rPr>
          <w:rFonts w:cs="David" w:hint="cs"/>
          <w:sz w:val="24"/>
          <w:szCs w:val="24"/>
          <w:rtl/>
        </w:rPr>
        <w:t xml:space="preserve">"). </w:t>
      </w:r>
    </w:p>
    <w:p w:rsidR="00BC282E" w:rsidRPr="00BC282E" w:rsidRDefault="00BC282E" w:rsidP="00D06A1A">
      <w:pPr>
        <w:numPr>
          <w:ilvl w:val="0"/>
          <w:numId w:val="13"/>
        </w:numPr>
        <w:spacing w:line="360" w:lineRule="auto"/>
        <w:ind w:left="709" w:hanging="284"/>
        <w:rPr>
          <w:rFonts w:cs="David"/>
          <w:sz w:val="24"/>
          <w:szCs w:val="24"/>
        </w:rPr>
      </w:pPr>
      <w:r w:rsidRPr="00AE28C5">
        <w:rPr>
          <w:rFonts w:cs="David" w:hint="cs"/>
          <w:sz w:val="24"/>
          <w:szCs w:val="24"/>
          <w:rtl/>
        </w:rPr>
        <w:t xml:space="preserve">סוויפטנס </w:t>
      </w:r>
      <w:r w:rsidRPr="00BC282E">
        <w:rPr>
          <w:rFonts w:cs="David" w:hint="cs"/>
          <w:sz w:val="24"/>
          <w:szCs w:val="24"/>
          <w:rtl/>
        </w:rPr>
        <w:t>רשאית להפחית את דמי השימוש ממחירון הבסיס או מהמחירון המעודכן, באופן קבוע או זמני, בכפוף ל</w:t>
      </w:r>
      <w:r w:rsidRPr="00BC282E">
        <w:rPr>
          <w:rFonts w:cs="David" w:hint="eastAsia"/>
          <w:sz w:val="24"/>
          <w:szCs w:val="24"/>
          <w:rtl/>
        </w:rPr>
        <w:t>אישור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הממונה</w:t>
      </w:r>
      <w:r w:rsidRPr="00BC282E">
        <w:rPr>
          <w:rFonts w:cs="David" w:hint="cs"/>
          <w:sz w:val="24"/>
          <w:szCs w:val="24"/>
          <w:rtl/>
        </w:rPr>
        <w:t xml:space="preserve"> מראש ובכתב</w:t>
      </w:r>
      <w:r w:rsidRPr="00BC282E">
        <w:rPr>
          <w:rFonts w:cs="David"/>
          <w:sz w:val="24"/>
          <w:szCs w:val="24"/>
          <w:rtl/>
        </w:rPr>
        <w:t>.</w:t>
      </w:r>
    </w:p>
    <w:p w:rsidR="00BC282E" w:rsidRPr="00BC282E" w:rsidRDefault="00BC282E" w:rsidP="00D06A1A">
      <w:pPr>
        <w:numPr>
          <w:ilvl w:val="0"/>
          <w:numId w:val="13"/>
        </w:numPr>
        <w:spacing w:line="360" w:lineRule="auto"/>
        <w:ind w:left="709" w:hanging="284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>משתמש שאינו גוף מוסדי שיזם פעולה ש</w:t>
      </w:r>
      <w:r w:rsidRPr="00BC282E">
        <w:rPr>
          <w:rFonts w:cs="David" w:hint="eastAsia"/>
          <w:sz w:val="24"/>
          <w:szCs w:val="24"/>
          <w:rtl/>
        </w:rPr>
        <w:t>לא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הושלמה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בשל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תקלה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שנגרמה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באשמת</w:t>
      </w:r>
      <w:r w:rsidRPr="00BC282E">
        <w:rPr>
          <w:rFonts w:cs="David" w:hint="cs"/>
          <w:sz w:val="24"/>
          <w:szCs w:val="24"/>
          <w:rtl/>
        </w:rPr>
        <w:t>ו</w:t>
      </w:r>
      <w:r w:rsidRPr="00BC282E">
        <w:rPr>
          <w:rFonts w:cs="David"/>
          <w:sz w:val="24"/>
          <w:szCs w:val="24"/>
          <w:rtl/>
        </w:rPr>
        <w:t xml:space="preserve">, </w:t>
      </w:r>
      <w:r w:rsidRPr="00BC282E">
        <w:rPr>
          <w:rFonts w:cs="David" w:hint="cs"/>
          <w:sz w:val="24"/>
          <w:szCs w:val="24"/>
          <w:rtl/>
        </w:rPr>
        <w:t>יחויב במלוא עלות אותה פעולה</w:t>
      </w:r>
      <w:r w:rsidRPr="00BC282E">
        <w:rPr>
          <w:rFonts w:cs="David"/>
          <w:sz w:val="24"/>
          <w:szCs w:val="24"/>
          <w:rtl/>
        </w:rPr>
        <w:t xml:space="preserve">. </w:t>
      </w:r>
      <w:r w:rsidRPr="00BC282E">
        <w:rPr>
          <w:rFonts w:cs="David" w:hint="cs"/>
          <w:sz w:val="24"/>
          <w:szCs w:val="24"/>
          <w:rtl/>
        </w:rPr>
        <w:t>אם יבחר אותו משתמש לבצע את אותה פעולה בשנית הוא יחויב במחצית המחיר שקבעה סוויפטנס לאותה פעולה</w:t>
      </w:r>
      <w:r w:rsidRPr="00BC282E">
        <w:rPr>
          <w:rFonts w:cs="David"/>
          <w:sz w:val="24"/>
          <w:szCs w:val="24"/>
          <w:rtl/>
        </w:rPr>
        <w:t>.</w:t>
      </w:r>
      <w:r w:rsidRPr="00BC282E">
        <w:rPr>
          <w:rFonts w:cs="David" w:hint="cs"/>
          <w:sz w:val="24"/>
          <w:szCs w:val="24"/>
          <w:rtl/>
        </w:rPr>
        <w:t xml:space="preserve"> </w:t>
      </w:r>
    </w:p>
    <w:p w:rsidR="00BC282E" w:rsidRPr="00BC282E" w:rsidRDefault="00BC282E" w:rsidP="00D06A1A">
      <w:pPr>
        <w:numPr>
          <w:ilvl w:val="0"/>
          <w:numId w:val="13"/>
        </w:numPr>
        <w:spacing w:line="360" w:lineRule="auto"/>
        <w:ind w:left="709" w:hanging="284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>משתמש שאינו גוף מוסדי</w:t>
      </w:r>
      <w:r w:rsidRPr="00BC282E">
        <w:rPr>
          <w:rFonts w:cs="David" w:hint="eastAsia"/>
          <w:sz w:val="24"/>
          <w:szCs w:val="24"/>
          <w:rtl/>
        </w:rPr>
        <w:t xml:space="preserve"> יהיה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רשאי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לערער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בפני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>סוויפטנס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על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גובה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דמי</w:t>
      </w:r>
      <w:r w:rsidRPr="00BC282E">
        <w:rPr>
          <w:rFonts w:cs="David"/>
          <w:sz w:val="24"/>
          <w:szCs w:val="24"/>
          <w:rtl/>
        </w:rPr>
        <w:t xml:space="preserve"> שימוש </w:t>
      </w:r>
      <w:r w:rsidRPr="00BC282E">
        <w:rPr>
          <w:rFonts w:cs="David" w:hint="eastAsia"/>
          <w:sz w:val="24"/>
          <w:szCs w:val="24"/>
          <w:rtl/>
        </w:rPr>
        <w:t>שנ</w:t>
      </w:r>
      <w:r w:rsidRPr="00BC282E">
        <w:rPr>
          <w:rFonts w:cs="David" w:hint="cs"/>
          <w:sz w:val="24"/>
          <w:szCs w:val="24"/>
          <w:rtl/>
        </w:rPr>
        <w:t>גב</w:t>
      </w:r>
      <w:r w:rsidRPr="00BC282E">
        <w:rPr>
          <w:rFonts w:cs="David" w:hint="eastAsia"/>
          <w:sz w:val="24"/>
          <w:szCs w:val="24"/>
          <w:rtl/>
        </w:rPr>
        <w:t>ו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>ממנו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תוך</w:t>
      </w:r>
      <w:r w:rsidRPr="00BC282E">
        <w:rPr>
          <w:rFonts w:cs="David"/>
          <w:sz w:val="24"/>
          <w:szCs w:val="24"/>
          <w:rtl/>
        </w:rPr>
        <w:t xml:space="preserve"> 30 </w:t>
      </w:r>
      <w:r w:rsidRPr="00BC282E">
        <w:rPr>
          <w:rFonts w:cs="David" w:hint="eastAsia"/>
          <w:sz w:val="24"/>
          <w:szCs w:val="24"/>
          <w:rtl/>
        </w:rPr>
        <w:t>ימים</w:t>
      </w:r>
      <w:r w:rsidRPr="00BC282E">
        <w:rPr>
          <w:rFonts w:cs="David" w:hint="cs"/>
          <w:sz w:val="24"/>
          <w:szCs w:val="24"/>
          <w:rtl/>
        </w:rPr>
        <w:t>,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מיום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eastAsia"/>
          <w:sz w:val="24"/>
          <w:szCs w:val="24"/>
          <w:rtl/>
        </w:rPr>
        <w:t>קבלת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>כל חשבונית</w:t>
      </w:r>
      <w:r w:rsidRPr="00BC282E">
        <w:rPr>
          <w:rFonts w:cs="David"/>
          <w:sz w:val="24"/>
          <w:szCs w:val="24"/>
          <w:rtl/>
        </w:rPr>
        <w:t>.</w:t>
      </w:r>
    </w:p>
    <w:p w:rsidR="00BC282E" w:rsidRPr="00BC282E" w:rsidRDefault="00BC282E" w:rsidP="00BC282E">
      <w:pPr>
        <w:pStyle w:val="Heading2"/>
        <w:widowControl/>
        <w:numPr>
          <w:ilvl w:val="0"/>
          <w:numId w:val="10"/>
        </w:numPr>
        <w:spacing w:before="240" w:after="60" w:line="240" w:lineRule="auto"/>
        <w:ind w:left="424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>עדכון מחירון הבסיס או המחירון המעודכן</w:t>
      </w:r>
    </w:p>
    <w:p w:rsidR="00BC282E" w:rsidRPr="00D06A1A" w:rsidRDefault="00BC282E" w:rsidP="00D06A1A">
      <w:pPr>
        <w:spacing w:before="120" w:line="360" w:lineRule="auto"/>
        <w:ind w:left="425"/>
        <w:rPr>
          <w:rFonts w:cs="David"/>
          <w:sz w:val="24"/>
          <w:szCs w:val="24"/>
          <w:rtl/>
        </w:rPr>
      </w:pPr>
      <w:r w:rsidRPr="00D06A1A">
        <w:rPr>
          <w:rFonts w:cs="David" w:hint="cs"/>
          <w:sz w:val="24"/>
          <w:szCs w:val="24"/>
          <w:rtl/>
        </w:rPr>
        <w:t>מחירון הבסיס והמחירון המעודכן יעודכנו כך שמחירים המפורטים בהם יוכפלו בשליש (1/3), במועדים המפורטים בסעיף קטן 4(ב). על אף האמור, מחיר כל פעולה לאחר העדכון לא יפחת מהמחיר המינימלי המצוין לגביה בעמודה הרביעית בטבלת מחירון הבסיס שבנספח א'.</w:t>
      </w:r>
    </w:p>
    <w:p w:rsidR="00BC282E" w:rsidRPr="00BC282E" w:rsidRDefault="00BC282E" w:rsidP="00BC282E">
      <w:pPr>
        <w:pStyle w:val="Heading2"/>
        <w:widowControl/>
        <w:numPr>
          <w:ilvl w:val="0"/>
          <w:numId w:val="10"/>
        </w:numPr>
        <w:spacing w:before="240"/>
        <w:ind w:left="424"/>
        <w:rPr>
          <w:rFonts w:cs="David"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>תחילה</w:t>
      </w:r>
    </w:p>
    <w:p w:rsidR="00BC282E" w:rsidRPr="00BC282E" w:rsidRDefault="00BC282E" w:rsidP="00D06A1A">
      <w:pPr>
        <w:numPr>
          <w:ilvl w:val="0"/>
          <w:numId w:val="14"/>
        </w:numPr>
        <w:spacing w:line="360" w:lineRule="auto"/>
        <w:rPr>
          <w:rFonts w:cs="David"/>
          <w:b/>
          <w:bCs/>
          <w:sz w:val="24"/>
          <w:szCs w:val="24"/>
        </w:rPr>
      </w:pPr>
      <w:r w:rsidRPr="00BC282E">
        <w:rPr>
          <w:rFonts w:cs="David" w:hint="cs"/>
          <w:sz w:val="24"/>
          <w:szCs w:val="24"/>
          <w:rtl/>
        </w:rPr>
        <w:t xml:space="preserve">הוראות סעיפים 3 ו-5 - </w:t>
      </w:r>
      <w:r w:rsidRPr="00BC282E">
        <w:rPr>
          <w:rFonts w:cs="David" w:hint="eastAsia"/>
          <w:sz w:val="24"/>
          <w:szCs w:val="24"/>
          <w:rtl/>
        </w:rPr>
        <w:t>החל</w:t>
      </w:r>
      <w:r w:rsidRPr="00BC282E">
        <w:rPr>
          <w:rFonts w:cs="David"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>ממועד ההפעלה המלאה</w:t>
      </w:r>
      <w:r w:rsidRPr="00BC282E">
        <w:rPr>
          <w:rFonts w:cs="David"/>
          <w:sz w:val="24"/>
          <w:szCs w:val="24"/>
          <w:rtl/>
        </w:rPr>
        <w:t>, כפי שיפרסם הממונה</w:t>
      </w:r>
      <w:r w:rsidRPr="00BC282E">
        <w:rPr>
          <w:rFonts w:cs="David" w:hint="cs"/>
          <w:sz w:val="24"/>
          <w:szCs w:val="24"/>
          <w:rtl/>
        </w:rPr>
        <w:t>,</w:t>
      </w:r>
      <w:r w:rsidRPr="00BC282E">
        <w:rPr>
          <w:rFonts w:cs="David" w:hint="cs"/>
          <w:b/>
          <w:bCs/>
          <w:sz w:val="24"/>
          <w:szCs w:val="24"/>
          <w:rtl/>
        </w:rPr>
        <w:t xml:space="preserve"> </w:t>
      </w:r>
      <w:r w:rsidRPr="00BC282E">
        <w:rPr>
          <w:rFonts w:cs="David" w:hint="cs"/>
          <w:sz w:val="24"/>
          <w:szCs w:val="24"/>
          <w:rtl/>
        </w:rPr>
        <w:t xml:space="preserve">וכל עוד המערכת מופעלת על ידי </w:t>
      </w:r>
      <w:r w:rsidRPr="00BC282E">
        <w:rPr>
          <w:rFonts w:ascii="Arial Narrow" w:eastAsia="Calibri" w:hAnsi="Arial Narrow" w:cs="David" w:hint="cs"/>
          <w:color w:val="000000"/>
          <w:sz w:val="24"/>
          <w:szCs w:val="24"/>
          <w:rtl/>
          <w:lang w:eastAsia="en-US"/>
        </w:rPr>
        <w:t>סוויפטנס</w:t>
      </w:r>
      <w:r w:rsidRPr="00BC282E">
        <w:rPr>
          <w:rFonts w:cs="David" w:hint="cs"/>
          <w:sz w:val="24"/>
          <w:szCs w:val="24"/>
          <w:rtl/>
        </w:rPr>
        <w:t>.</w:t>
      </w:r>
    </w:p>
    <w:p w:rsidR="003D1A57" w:rsidRPr="00BC282E" w:rsidRDefault="00BC282E" w:rsidP="00D06A1A">
      <w:pPr>
        <w:numPr>
          <w:ilvl w:val="0"/>
          <w:numId w:val="14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BC282E">
        <w:rPr>
          <w:rFonts w:cs="David" w:hint="cs"/>
          <w:sz w:val="24"/>
          <w:szCs w:val="24"/>
          <w:rtl/>
        </w:rPr>
        <w:t xml:space="preserve">הוראות סעיף 4 - החל ב-1 באוקטובר. עד ליום זה יחולו ההוראות שפרסם הממונה ב-12 </w:t>
      </w:r>
      <w:r w:rsidR="00EA5191">
        <w:rPr>
          <w:rFonts w:cs="David" w:hint="cs"/>
          <w:sz w:val="24"/>
          <w:szCs w:val="24"/>
          <w:rtl/>
        </w:rPr>
        <w:t>ב</w:t>
      </w:r>
      <w:r w:rsidRPr="00BC282E">
        <w:rPr>
          <w:rFonts w:cs="David" w:hint="cs"/>
          <w:sz w:val="24"/>
          <w:szCs w:val="24"/>
          <w:rtl/>
        </w:rPr>
        <w:t>מאי 2013, בנושא ה</w:t>
      </w:r>
      <w:r w:rsidR="00EA5191">
        <w:rPr>
          <w:rFonts w:cs="David" w:hint="cs"/>
          <w:sz w:val="24"/>
          <w:szCs w:val="24"/>
          <w:rtl/>
        </w:rPr>
        <w:t>י</w:t>
      </w:r>
      <w:r w:rsidRPr="00BC282E">
        <w:rPr>
          <w:rFonts w:cs="David" w:hint="cs"/>
          <w:sz w:val="24"/>
          <w:szCs w:val="24"/>
          <w:rtl/>
        </w:rPr>
        <w:t>ערכות לעבודה סדירה במסלקה, לעניין תשלום משתמש שאינו גוף מוסדי.</w:t>
      </w:r>
    </w:p>
    <w:p w:rsidR="003D1A57" w:rsidRPr="00BC282E" w:rsidRDefault="003D1A57" w:rsidP="003D1A57">
      <w:pPr>
        <w:tabs>
          <w:tab w:val="center" w:pos="6186"/>
        </w:tabs>
        <w:jc w:val="left"/>
        <w:rPr>
          <w:rFonts w:cs="David"/>
          <w:sz w:val="24"/>
          <w:szCs w:val="24"/>
          <w:rtl/>
        </w:rPr>
      </w:pPr>
    </w:p>
    <w:p w:rsidR="003D1A57" w:rsidRDefault="003D1A57" w:rsidP="003D1A57">
      <w:pPr>
        <w:tabs>
          <w:tab w:val="center" w:pos="6186"/>
        </w:tabs>
        <w:jc w:val="left"/>
        <w:rPr>
          <w:rFonts w:cs="David"/>
          <w:sz w:val="24"/>
          <w:szCs w:val="24"/>
          <w:rtl/>
        </w:rPr>
      </w:pPr>
    </w:p>
    <w:p w:rsidR="00BC282E" w:rsidRPr="00BC282E" w:rsidRDefault="00BC282E" w:rsidP="003D1A57">
      <w:pPr>
        <w:tabs>
          <w:tab w:val="center" w:pos="6186"/>
        </w:tabs>
        <w:jc w:val="left"/>
        <w:rPr>
          <w:rFonts w:cs="David"/>
          <w:sz w:val="24"/>
          <w:szCs w:val="24"/>
          <w:rtl/>
        </w:rPr>
      </w:pPr>
    </w:p>
    <w:p w:rsidR="003D1A57" w:rsidRPr="00BC282E" w:rsidRDefault="003D1A57" w:rsidP="003D1A57">
      <w:pPr>
        <w:tabs>
          <w:tab w:val="center" w:pos="2359"/>
          <w:tab w:val="center" w:pos="6186"/>
        </w:tabs>
        <w:spacing w:line="276" w:lineRule="auto"/>
        <w:jc w:val="left"/>
        <w:rPr>
          <w:rFonts w:cs="David"/>
          <w:sz w:val="24"/>
          <w:szCs w:val="24"/>
          <w:rtl/>
        </w:rPr>
      </w:pPr>
      <w:r w:rsidRPr="00BC282E">
        <w:rPr>
          <w:rFonts w:cs="David"/>
          <w:sz w:val="24"/>
          <w:szCs w:val="24"/>
          <w:rtl/>
        </w:rPr>
        <w:tab/>
      </w:r>
      <w:r w:rsidRPr="00BC282E">
        <w:rPr>
          <w:rFonts w:cs="David"/>
          <w:sz w:val="24"/>
          <w:szCs w:val="24"/>
          <w:rtl/>
        </w:rPr>
        <w:tab/>
      </w:r>
      <w:r w:rsidRPr="00BC282E">
        <w:rPr>
          <w:rFonts w:cs="David" w:hint="cs"/>
          <w:sz w:val="24"/>
          <w:szCs w:val="24"/>
          <w:rtl/>
        </w:rPr>
        <w:t>עודד שריג</w:t>
      </w:r>
    </w:p>
    <w:p w:rsidR="003D1A57" w:rsidRPr="00BC282E" w:rsidRDefault="003D1A57" w:rsidP="003D1A57">
      <w:pPr>
        <w:tabs>
          <w:tab w:val="center" w:pos="2359"/>
          <w:tab w:val="center" w:pos="6186"/>
        </w:tabs>
        <w:spacing w:line="276" w:lineRule="auto"/>
        <w:jc w:val="left"/>
        <w:rPr>
          <w:rFonts w:cs="David"/>
          <w:sz w:val="24"/>
          <w:szCs w:val="24"/>
          <w:rtl/>
        </w:rPr>
      </w:pPr>
      <w:r w:rsidRPr="00BC282E">
        <w:rPr>
          <w:rFonts w:cs="David" w:hint="cs"/>
          <w:sz w:val="24"/>
          <w:szCs w:val="24"/>
          <w:rtl/>
        </w:rPr>
        <w:tab/>
      </w:r>
      <w:r w:rsidRPr="00BC282E">
        <w:rPr>
          <w:rFonts w:cs="David" w:hint="cs"/>
          <w:sz w:val="24"/>
          <w:szCs w:val="24"/>
          <w:rtl/>
        </w:rPr>
        <w:tab/>
        <w:t>הממונה על שוק ההון ביטוח וחסכון</w:t>
      </w:r>
    </w:p>
    <w:p w:rsidR="003D1A57" w:rsidRPr="00BC282E" w:rsidRDefault="003D1A57" w:rsidP="003D1A57">
      <w:pPr>
        <w:tabs>
          <w:tab w:val="center" w:pos="2359"/>
          <w:tab w:val="center" w:pos="5619"/>
        </w:tabs>
        <w:spacing w:line="276" w:lineRule="auto"/>
        <w:jc w:val="left"/>
        <w:rPr>
          <w:rFonts w:cs="David"/>
          <w:sz w:val="24"/>
          <w:szCs w:val="24"/>
          <w:rtl/>
        </w:rPr>
      </w:pPr>
    </w:p>
    <w:p w:rsidR="003D1A57" w:rsidRPr="00BC282E" w:rsidRDefault="003D1A57" w:rsidP="003D1A57">
      <w:pPr>
        <w:tabs>
          <w:tab w:val="center" w:pos="2359"/>
          <w:tab w:val="center" w:pos="5619"/>
        </w:tabs>
        <w:spacing w:line="276" w:lineRule="auto"/>
        <w:jc w:val="left"/>
        <w:rPr>
          <w:rFonts w:cs="David"/>
          <w:sz w:val="24"/>
          <w:szCs w:val="24"/>
          <w:rtl/>
        </w:rPr>
      </w:pPr>
    </w:p>
    <w:p w:rsidR="00B86F0F" w:rsidRDefault="00B86F0F">
      <w:pPr>
        <w:bidi w:val="0"/>
        <w:spacing w:before="200" w:after="200" w:line="276" w:lineRule="auto"/>
        <w:jc w:val="lef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B86F0F" w:rsidRDefault="00A908F3" w:rsidP="00A908F3">
      <w:pPr>
        <w:ind w:left="993" w:hanging="568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נספח א'</w:t>
      </w:r>
    </w:p>
    <w:p w:rsidR="00A908F3" w:rsidRDefault="00A908F3" w:rsidP="00A908F3">
      <w:pPr>
        <w:ind w:left="1276" w:hanging="425"/>
        <w:rPr>
          <w:rFonts w:cs="David"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354"/>
        <w:bidiVisual/>
        <w:tblW w:w="9795" w:type="dxa"/>
        <w:tblInd w:w="986" w:type="dxa"/>
        <w:tblLayout w:type="fixed"/>
        <w:tblLook w:val="0420" w:firstRow="1" w:lastRow="0" w:firstColumn="0" w:lastColumn="0" w:noHBand="0" w:noVBand="1"/>
      </w:tblPr>
      <w:tblGrid>
        <w:gridCol w:w="920"/>
        <w:gridCol w:w="3946"/>
        <w:gridCol w:w="3743"/>
        <w:gridCol w:w="1186"/>
      </w:tblGrid>
      <w:tr w:rsidR="00A908F3" w:rsidRPr="0047643A" w:rsidTr="00A908F3">
        <w:trPr>
          <w:trHeight w:val="503"/>
          <w:tblHeader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</w:tcPr>
          <w:p w:rsidR="00A908F3" w:rsidRPr="00803BBA" w:rsidRDefault="00A908F3" w:rsidP="0003338A">
            <w:pPr>
              <w:widowControl w:val="0"/>
              <w:jc w:val="left"/>
              <w:rPr>
                <w:rFonts w:cs="David"/>
                <w:bCs/>
                <w:color w:val="FFFFFF"/>
                <w:sz w:val="24"/>
                <w:szCs w:val="24"/>
                <w:rtl/>
              </w:rPr>
            </w:pPr>
            <w:r>
              <w:rPr>
                <w:rFonts w:cs="David" w:hint="cs"/>
                <w:bCs/>
                <w:color w:val="FFFFFF"/>
                <w:sz w:val="24"/>
                <w:szCs w:val="24"/>
                <w:rtl/>
              </w:rPr>
              <w:t>מס' פעולה</w:t>
            </w: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F81BD"/>
            <w:hideMark/>
          </w:tcPr>
          <w:p w:rsidR="00A908F3" w:rsidRPr="00803BBA" w:rsidRDefault="00A908F3" w:rsidP="0003338A">
            <w:pPr>
              <w:widowControl w:val="0"/>
              <w:jc w:val="left"/>
              <w:rPr>
                <w:rFonts w:cs="David"/>
                <w:bCs/>
                <w:color w:val="FFFFFF"/>
                <w:sz w:val="24"/>
                <w:szCs w:val="24"/>
              </w:rPr>
            </w:pPr>
            <w:r w:rsidRPr="00803BBA">
              <w:rPr>
                <w:rFonts w:cs="David" w:hint="eastAsia"/>
                <w:bCs/>
                <w:color w:val="FFFFFF"/>
                <w:sz w:val="24"/>
                <w:szCs w:val="24"/>
                <w:rtl/>
              </w:rPr>
              <w:t>סוג</w:t>
            </w:r>
            <w:r w:rsidRPr="00803BBA">
              <w:rPr>
                <w:rFonts w:cs="David"/>
                <w:bCs/>
                <w:color w:val="FFFFFF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bCs/>
                <w:color w:val="FFFFFF"/>
                <w:sz w:val="24"/>
                <w:szCs w:val="24"/>
                <w:rtl/>
              </w:rPr>
              <w:t>הפעולה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A908F3" w:rsidRPr="00803BBA" w:rsidRDefault="00A908F3" w:rsidP="0003338A">
            <w:pPr>
              <w:widowControl w:val="0"/>
              <w:jc w:val="left"/>
              <w:rPr>
                <w:rFonts w:cs="David"/>
                <w:bCs/>
                <w:color w:val="FFFFFF"/>
                <w:sz w:val="24"/>
                <w:szCs w:val="24"/>
                <w:rtl/>
              </w:rPr>
            </w:pPr>
            <w:r w:rsidRPr="00803BBA">
              <w:rPr>
                <w:rFonts w:cs="David" w:hint="eastAsia"/>
                <w:bCs/>
                <w:color w:val="FFFFFF"/>
                <w:sz w:val="24"/>
                <w:szCs w:val="24"/>
                <w:rtl/>
              </w:rPr>
              <w:t>מחיר</w:t>
            </w:r>
            <w:r>
              <w:rPr>
                <w:rFonts w:cs="David" w:hint="cs"/>
                <w:bCs/>
                <w:color w:val="FFFFFF"/>
                <w:sz w:val="24"/>
                <w:szCs w:val="24"/>
                <w:rtl/>
              </w:rPr>
              <w:t>ון בסיסי*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08F3" w:rsidRPr="00803BBA" w:rsidRDefault="00A908F3" w:rsidP="0003338A">
            <w:pPr>
              <w:widowControl w:val="0"/>
              <w:jc w:val="left"/>
              <w:rPr>
                <w:rFonts w:cs="David"/>
                <w:bCs/>
                <w:color w:val="FFFFFF"/>
                <w:sz w:val="24"/>
                <w:szCs w:val="24"/>
                <w:rtl/>
              </w:rPr>
            </w:pPr>
            <w:r>
              <w:rPr>
                <w:rFonts w:cs="David" w:hint="cs"/>
                <w:bCs/>
                <w:color w:val="FFFFFF"/>
                <w:sz w:val="24"/>
                <w:szCs w:val="24"/>
                <w:rtl/>
              </w:rPr>
              <w:t>מחיר מינימלי*</w:t>
            </w: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jc w:val="center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בקשת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מידע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באופן חד פעמי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מכלל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הגופים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המוסדיים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>40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20 ₪</w:t>
            </w: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jc w:val="center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בקשת מידע באופן חד פעמי מגוף מוסדי יחיד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10 ₪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5 ₪</w:t>
            </w: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בקשת מידע על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מוצר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פנסיוני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יחיד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באופן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חד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פעמי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/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מתמשך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>5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0 ₪</w:t>
            </w:r>
          </w:p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העברת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מידע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על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יתרות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פיצויים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,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ל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כל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המוצרים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הקיימים לזכות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עובד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מסוים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אצל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אותו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גוף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מוסדי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0.5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 לכל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עובד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0 ₪</w:t>
            </w:r>
          </w:p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העברת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מידע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נלווה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להפקדת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כספים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שלא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בוצעה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באמצעות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ה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מערכת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3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₪ לקובץ לכל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גוף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מוסדי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+ 0.15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₪ ל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כל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רשומה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על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רכיב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במוצר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0 ₪</w:t>
            </w:r>
          </w:p>
          <w:p w:rsidR="00A908F3" w:rsidRPr="00803BBA" w:rsidDel="00D5779E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העברת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מידע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בעל רישיון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לגוף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מוסדי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>2.5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0 ₪</w:t>
            </w:r>
          </w:p>
        </w:tc>
      </w:tr>
      <w:tr w:rsidR="00A908F3" w:rsidRPr="00803BB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בקשת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חוסך לקבלת מידע אודות נתונים שהועברו לגביו במערכת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>40</w:t>
            </w:r>
            <w:r w:rsidRPr="00A222D0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20 ₪</w:t>
            </w:r>
          </w:p>
        </w:tc>
      </w:tr>
      <w:tr w:rsidR="00A908F3" w:rsidRPr="00803BB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בקשת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נתונים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על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כספים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שהועברו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במערכת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40 </w:t>
            </w:r>
            <w:r w:rsidRPr="00A222D0">
              <w:rPr>
                <w:rFonts w:cs="David" w:hint="cs"/>
                <w:color w:val="000000"/>
                <w:sz w:val="24"/>
                <w:szCs w:val="24"/>
                <w:rtl/>
              </w:rPr>
              <w:t xml:space="preserve">₪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לבקשה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+ 1 </w:t>
            </w:r>
            <w:r w:rsidRPr="00A222D0">
              <w:rPr>
                <w:rFonts w:cs="David" w:hint="cs"/>
                <w:color w:val="000000"/>
                <w:sz w:val="24"/>
                <w:szCs w:val="24"/>
                <w:rtl/>
              </w:rPr>
              <w:t>₪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לכל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עובד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כשהיוזם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הוא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מעסיק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20 ₪</w:t>
            </w:r>
          </w:p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העברת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בקשה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לביצוע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פעולה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>0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 ₪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0 ₪</w:t>
            </w: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הפקדת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כספים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, כולל העברת מידע נלווה להעברת הכספים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3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₪ להפקדה של כספים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לכל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גוף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מוסדי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+ 0.15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₪ ל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כל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 xml:space="preserve">פיצול של ההפקדה לגבי אותו מוצר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Pr="00803BBA" w:rsidDel="007F2603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0 ₪</w:t>
            </w:r>
          </w:p>
        </w:tc>
      </w:tr>
      <w:tr w:rsidR="00A908F3" w:rsidRPr="0047643A" w:rsidTr="00A908F3">
        <w:trPr>
          <w:trHeight w:val="54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דוחות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תפעוליים</w:t>
            </w:r>
            <w:r w:rsidRPr="00803BBA">
              <w:rPr>
                <w:rFonts w:cs="David"/>
                <w:color w:val="000000"/>
                <w:sz w:val="24"/>
                <w:szCs w:val="24"/>
                <w:rtl/>
              </w:rPr>
              <w:t xml:space="preserve"> </w:t>
            </w:r>
            <w:r w:rsidRPr="00803BBA">
              <w:rPr>
                <w:rFonts w:cs="David" w:hint="eastAsia"/>
                <w:color w:val="000000"/>
                <w:sz w:val="24"/>
                <w:szCs w:val="24"/>
                <w:rtl/>
              </w:rPr>
              <w:t>למשתמשים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8F3" w:rsidRPr="00803BBA" w:rsidRDefault="00A908F3" w:rsidP="00A908F3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319" w:hanging="319"/>
              <w:jc w:val="left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₪ לכל דוח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3" w:rsidRPr="00803BBA" w:rsidRDefault="00A908F3" w:rsidP="000333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David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color w:val="000000"/>
                <w:sz w:val="24"/>
                <w:szCs w:val="24"/>
                <w:rtl/>
              </w:rPr>
              <w:t>20 ₪</w:t>
            </w:r>
          </w:p>
        </w:tc>
      </w:tr>
    </w:tbl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Pr="00B166EE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סכומים </w:t>
      </w:r>
      <w:r w:rsidRPr="00B166EE">
        <w:rPr>
          <w:rFonts w:cs="David" w:hint="cs"/>
          <w:sz w:val="24"/>
          <w:szCs w:val="24"/>
          <w:rtl/>
        </w:rPr>
        <w:t xml:space="preserve">בטבלה </w:t>
      </w:r>
      <w:r w:rsidRPr="003E1642">
        <w:rPr>
          <w:rFonts w:cs="David" w:hint="cs"/>
          <w:sz w:val="24"/>
          <w:szCs w:val="24"/>
          <w:rtl/>
        </w:rPr>
        <w:t>כוללים מע"</w:t>
      </w:r>
      <w:r>
        <w:rPr>
          <w:rFonts w:cs="David" w:hint="cs"/>
          <w:sz w:val="24"/>
          <w:szCs w:val="24"/>
          <w:rtl/>
        </w:rPr>
        <w:t>מ</w:t>
      </w: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  <w:rtl/>
        </w:rPr>
      </w:pPr>
    </w:p>
    <w:p w:rsidR="00A908F3" w:rsidRDefault="00A908F3" w:rsidP="00A908F3">
      <w:pPr>
        <w:ind w:left="284"/>
        <w:rPr>
          <w:rFonts w:cs="David"/>
          <w:sz w:val="24"/>
          <w:szCs w:val="24"/>
        </w:rPr>
      </w:pPr>
    </w:p>
    <w:sectPr w:rsidR="00A908F3" w:rsidSect="00A908F3">
      <w:footerReference w:type="default" r:id="rId9"/>
      <w:headerReference w:type="first" r:id="rId10"/>
      <w:footerReference w:type="first" r:id="rId11"/>
      <w:pgSz w:w="11906" w:h="16838"/>
      <w:pgMar w:top="840" w:right="849" w:bottom="1418" w:left="1134" w:header="284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FA" w:rsidRDefault="00B93DFA" w:rsidP="003D1A57">
      <w:r>
        <w:separator/>
      </w:r>
    </w:p>
  </w:endnote>
  <w:endnote w:type="continuationSeparator" w:id="0">
    <w:p w:rsidR="00B93DFA" w:rsidRDefault="00B93DFA" w:rsidP="003D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15" w:rsidRDefault="00B93DFA" w:rsidP="00FC2615">
    <w:pPr>
      <w:jc w:val="center"/>
      <w:rPr>
        <w:rtl/>
      </w:rPr>
    </w:pPr>
    <w:r>
      <w:fldChar w:fldCharType="begin"/>
    </w:r>
    <w:r>
      <w:instrText xml:space="preserve"> NUMPAGES  \* MERGEFORMAT </w:instrText>
    </w:r>
    <w:r>
      <w:fldChar w:fldCharType="separate"/>
    </w:r>
    <w:r w:rsidR="00514BB5">
      <w:rPr>
        <w:noProof/>
        <w:rtl/>
      </w:rPr>
      <w:t>3</w:t>
    </w:r>
    <w:r>
      <w:rPr>
        <w:noProof/>
      </w:rPr>
      <w:fldChar w:fldCharType="end"/>
    </w:r>
    <w:r w:rsidR="006C0D4A">
      <w:rPr>
        <w:rFonts w:hint="cs"/>
        <w:rtl/>
      </w:rPr>
      <w:t xml:space="preserve"> / </w:t>
    </w:r>
    <w:r w:rsidR="006C0D4A">
      <w:rPr>
        <w:rtl/>
      </w:rPr>
      <w:fldChar w:fldCharType="begin"/>
    </w:r>
    <w:r w:rsidR="006C0D4A">
      <w:rPr>
        <w:rtl/>
      </w:rPr>
      <w:instrText xml:space="preserve"> </w:instrText>
    </w:r>
    <w:r w:rsidR="006C0D4A">
      <w:instrText>PAGE  \* MERGEFORMAT</w:instrText>
    </w:r>
    <w:r w:rsidR="006C0D4A">
      <w:rPr>
        <w:rtl/>
      </w:rPr>
      <w:instrText xml:space="preserve"> </w:instrText>
    </w:r>
    <w:r w:rsidR="006C0D4A">
      <w:rPr>
        <w:rtl/>
      </w:rPr>
      <w:fldChar w:fldCharType="separate"/>
    </w:r>
    <w:r w:rsidR="00514BB5">
      <w:rPr>
        <w:noProof/>
        <w:rtl/>
      </w:rPr>
      <w:t>3</w:t>
    </w:r>
    <w:r w:rsidR="006C0D4A">
      <w:rPr>
        <w:rtl/>
      </w:rPr>
      <w:fldChar w:fldCharType="end"/>
    </w:r>
  </w:p>
  <w:p w:rsidR="00FC2615" w:rsidRDefault="006C0D4A" w:rsidP="00FC2615">
    <w:pPr>
      <w:pBdr>
        <w:top w:val="single" w:sz="4" w:space="1" w:color="auto"/>
      </w:pBdr>
      <w:rPr>
        <w:sz w:val="6"/>
        <w:szCs w:val="8"/>
        <w:rtl/>
      </w:rPr>
    </w:pPr>
    <w:r>
      <w:rPr>
        <w:rtl/>
      </w:rPr>
      <w:t xml:space="preserve">רח' קפלן 1, ירושלים </w:t>
    </w:r>
    <w:r>
      <w:rPr>
        <w:rFonts w:hint="cs"/>
        <w:rtl/>
      </w:rPr>
      <w:t>91030</w:t>
    </w:r>
    <w:r w:rsidR="003D1A57">
      <w:rPr>
        <w:rFonts w:hint="cs"/>
        <w:rtl/>
      </w:rPr>
      <w:t>02</w:t>
    </w:r>
    <w:r>
      <w:rPr>
        <w:rtl/>
      </w:rPr>
      <w:t xml:space="preserve"> ת.ד. </w:t>
    </w:r>
    <w:r>
      <w:rPr>
        <w:rFonts w:hint="cs"/>
        <w:rtl/>
      </w:rPr>
      <w:t>3100</w:t>
    </w:r>
    <w:r>
      <w:rPr>
        <w:rtl/>
      </w:rPr>
      <w:t xml:space="preserve"> טל' </w:t>
    </w:r>
    <w:r>
      <w:rPr>
        <w:rFonts w:hint="cs"/>
        <w:rtl/>
      </w:rPr>
      <w:t>02-5317111</w:t>
    </w:r>
    <w:r>
      <w:rPr>
        <w:rtl/>
      </w:rPr>
      <w:t xml:space="preserve">  פקס'</w:t>
    </w:r>
    <w:r>
      <w:rPr>
        <w:rFonts w:hint="cs"/>
        <w:rtl/>
      </w:rPr>
      <w:t xml:space="preserve"> 02-5695342</w:t>
    </w:r>
    <w:r>
      <w:rPr>
        <w:rtl/>
      </w:rPr>
      <w:t xml:space="preserve"> </w:t>
    </w:r>
    <w:r>
      <w:rPr>
        <w:rtl/>
      </w:rPr>
      <w:br/>
    </w:r>
  </w:p>
  <w:p w:rsidR="00FC2615" w:rsidRDefault="00B93DFA" w:rsidP="00FC2615">
    <w:pPr>
      <w:pStyle w:val="Footer"/>
      <w:jc w:val="center"/>
    </w:pPr>
    <w:hyperlink r:id="rId1" w:history="1">
      <w:r w:rsidR="006C0D4A">
        <w:rPr>
          <w:rStyle w:val="Hyperlink"/>
          <w:szCs w:val="28"/>
        </w:rPr>
        <w:t>www.mof.gov.il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15" w:rsidRDefault="00B93DFA" w:rsidP="00FC2615">
    <w:pPr>
      <w:jc w:val="center"/>
      <w:rPr>
        <w:rtl/>
      </w:rPr>
    </w:pPr>
    <w:r>
      <w:fldChar w:fldCharType="begin"/>
    </w:r>
    <w:r>
      <w:instrText xml:space="preserve"> NUMPAGES  \* MERGEFO</w:instrText>
    </w:r>
    <w:r>
      <w:instrText xml:space="preserve">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  <w:r w:rsidR="006C0D4A">
      <w:rPr>
        <w:rFonts w:hint="cs"/>
        <w:rtl/>
      </w:rPr>
      <w:t xml:space="preserve"> / </w:t>
    </w:r>
    <w:r w:rsidR="006C0D4A">
      <w:rPr>
        <w:rtl/>
      </w:rPr>
      <w:fldChar w:fldCharType="begin"/>
    </w:r>
    <w:r w:rsidR="006C0D4A">
      <w:rPr>
        <w:rtl/>
      </w:rPr>
      <w:instrText xml:space="preserve"> </w:instrText>
    </w:r>
    <w:r w:rsidR="006C0D4A">
      <w:instrText>PAGE  \* MERGEFORMAT</w:instrText>
    </w:r>
    <w:r w:rsidR="006C0D4A">
      <w:rPr>
        <w:rtl/>
      </w:rPr>
      <w:instrText xml:space="preserve"> </w:instrText>
    </w:r>
    <w:r w:rsidR="006C0D4A">
      <w:rPr>
        <w:rtl/>
      </w:rPr>
      <w:fldChar w:fldCharType="separate"/>
    </w:r>
    <w:r>
      <w:rPr>
        <w:noProof/>
        <w:rtl/>
      </w:rPr>
      <w:t>1</w:t>
    </w:r>
    <w:r w:rsidR="006C0D4A">
      <w:rPr>
        <w:rtl/>
      </w:rPr>
      <w:fldChar w:fldCharType="end"/>
    </w:r>
  </w:p>
  <w:p w:rsidR="00FC2615" w:rsidRDefault="006C0D4A" w:rsidP="00D44C01">
    <w:pPr>
      <w:pBdr>
        <w:top w:val="single" w:sz="4" w:space="1" w:color="auto"/>
      </w:pBdr>
      <w:rPr>
        <w:sz w:val="6"/>
        <w:szCs w:val="8"/>
        <w:rtl/>
      </w:rPr>
    </w:pPr>
    <w:r>
      <w:rPr>
        <w:rtl/>
      </w:rPr>
      <w:t xml:space="preserve">רח' קפלן 1, ירושלים </w:t>
    </w:r>
    <w:r>
      <w:rPr>
        <w:rFonts w:hint="cs"/>
        <w:rtl/>
      </w:rPr>
      <w:t>9103002</w:t>
    </w:r>
    <w:r>
      <w:rPr>
        <w:rtl/>
      </w:rPr>
      <w:t xml:space="preserve"> ת.ד. </w:t>
    </w:r>
    <w:r>
      <w:rPr>
        <w:rFonts w:hint="cs"/>
        <w:rtl/>
      </w:rPr>
      <w:t>3100</w:t>
    </w:r>
    <w:r>
      <w:rPr>
        <w:rtl/>
      </w:rPr>
      <w:t xml:space="preserve"> טל' </w:t>
    </w:r>
    <w:r>
      <w:rPr>
        <w:rFonts w:hint="cs"/>
        <w:rtl/>
      </w:rPr>
      <w:t>02-5317111</w:t>
    </w:r>
    <w:r>
      <w:rPr>
        <w:rtl/>
      </w:rPr>
      <w:t xml:space="preserve">  פקס'</w:t>
    </w:r>
    <w:r>
      <w:rPr>
        <w:rFonts w:hint="cs"/>
        <w:rtl/>
      </w:rPr>
      <w:t xml:space="preserve"> 02-5695342</w:t>
    </w:r>
    <w:r>
      <w:rPr>
        <w:rtl/>
      </w:rPr>
      <w:t xml:space="preserve"> </w:t>
    </w:r>
    <w:r>
      <w:rPr>
        <w:rtl/>
      </w:rPr>
      <w:br/>
    </w:r>
  </w:p>
  <w:p w:rsidR="00FC2615" w:rsidRDefault="00B93DFA" w:rsidP="00FC2615">
    <w:pPr>
      <w:jc w:val="center"/>
      <w:rPr>
        <w:rtl/>
      </w:rPr>
    </w:pPr>
    <w:hyperlink r:id="rId1" w:history="1">
      <w:r w:rsidR="006C0D4A">
        <w:rPr>
          <w:rStyle w:val="Hyperlink"/>
          <w:szCs w:val="28"/>
        </w:rPr>
        <w:t>www.mof.gov.il</w:t>
      </w:r>
    </w:hyperlink>
    <w:r w:rsidR="006C0D4A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FA" w:rsidRDefault="00B93DFA" w:rsidP="003D1A57">
      <w:r>
        <w:separator/>
      </w:r>
    </w:p>
  </w:footnote>
  <w:footnote w:type="continuationSeparator" w:id="0">
    <w:p w:rsidR="00B93DFA" w:rsidRDefault="00B93DFA" w:rsidP="003D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15" w:rsidRDefault="003D1A57" w:rsidP="00FC2615">
    <w:pPr>
      <w:pStyle w:val="Header"/>
      <w:jc w:val="center"/>
      <w:rPr>
        <w:b/>
        <w:bCs/>
        <w:szCs w:val="36"/>
        <w:rtl/>
      </w:rPr>
    </w:pPr>
    <w:r>
      <w:rPr>
        <w:noProof/>
        <w:rtl/>
        <w:lang w:eastAsia="en-US"/>
      </w:rPr>
      <w:drawing>
        <wp:inline distT="0" distB="0" distL="0" distR="0" wp14:anchorId="05EAD1C6" wp14:editId="1C7E539A">
          <wp:extent cx="466725" cy="523875"/>
          <wp:effectExtent l="0" t="0" r="9525" b="9525"/>
          <wp:docPr id="1" name="תמונה 1" descr="MEDI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N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615" w:rsidRDefault="006C0D4A" w:rsidP="00FC2615">
    <w:pPr>
      <w:pStyle w:val="Header"/>
      <w:jc w:val="center"/>
      <w:rPr>
        <w:b/>
        <w:bCs/>
        <w:szCs w:val="36"/>
        <w:rtl/>
      </w:rPr>
    </w:pPr>
    <w:r>
      <w:rPr>
        <w:b/>
        <w:bCs/>
        <w:szCs w:val="36"/>
        <w:rtl/>
      </w:rPr>
      <w:t>מדינת ישראל</w:t>
    </w:r>
  </w:p>
  <w:p w:rsidR="00FC2615" w:rsidRDefault="006C0D4A" w:rsidP="00FC2615">
    <w:pPr>
      <w:pStyle w:val="Header"/>
      <w:jc w:val="center"/>
      <w:rPr>
        <w:rtl/>
      </w:rPr>
    </w:pPr>
    <w:r>
      <w:rPr>
        <w:szCs w:val="32"/>
        <w:rtl/>
      </w:rPr>
      <w:t>משרד האוצר - אגף שוק ההון, ביטוח וחסכון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3D463E2"/>
    <w:multiLevelType w:val="hybridMultilevel"/>
    <w:tmpl w:val="A9AA7A5E"/>
    <w:lvl w:ilvl="0" w:tplc="E4006522">
      <w:start w:val="1"/>
      <w:numFmt w:val="hebrew1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23A"/>
    <w:multiLevelType w:val="hybridMultilevel"/>
    <w:tmpl w:val="41C6BDE6"/>
    <w:lvl w:ilvl="0" w:tplc="993AE19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508B"/>
    <w:multiLevelType w:val="hybridMultilevel"/>
    <w:tmpl w:val="2FD6991C"/>
    <w:lvl w:ilvl="0" w:tplc="3CEC876E">
      <w:start w:val="1"/>
      <w:numFmt w:val="hebrew1"/>
      <w:lvlText w:val="(%1)"/>
      <w:lvlJc w:val="center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4690D37"/>
    <w:multiLevelType w:val="multilevel"/>
    <w:tmpl w:val="2C7611E6"/>
    <w:numStyleLink w:val="-0"/>
  </w:abstractNum>
  <w:abstractNum w:abstractNumId="7">
    <w:nsid w:val="2AA12A9A"/>
    <w:multiLevelType w:val="hybridMultilevel"/>
    <w:tmpl w:val="39A2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961AB"/>
    <w:multiLevelType w:val="hybridMultilevel"/>
    <w:tmpl w:val="2FD6991C"/>
    <w:lvl w:ilvl="0" w:tplc="3CEC876E">
      <w:start w:val="1"/>
      <w:numFmt w:val="hebrew1"/>
      <w:lvlText w:val="(%1)"/>
      <w:lvlJc w:val="center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FD62A9A"/>
    <w:multiLevelType w:val="hybridMultilevel"/>
    <w:tmpl w:val="A9AA7A5E"/>
    <w:lvl w:ilvl="0" w:tplc="E4006522">
      <w:start w:val="1"/>
      <w:numFmt w:val="hebrew1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77D4CEE"/>
    <w:multiLevelType w:val="multilevel"/>
    <w:tmpl w:val="2C7611E6"/>
    <w:numStyleLink w:val="-0"/>
  </w:abstractNum>
  <w:abstractNum w:abstractNumId="11">
    <w:nsid w:val="52C63965"/>
    <w:multiLevelType w:val="multilevel"/>
    <w:tmpl w:val="CB2CFB36"/>
    <w:numStyleLink w:val="-"/>
  </w:abstractNum>
  <w:abstractNum w:abstractNumId="12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>
    <w:nsid w:val="7E123F6A"/>
    <w:multiLevelType w:val="hybridMultilevel"/>
    <w:tmpl w:val="A9AA7A5E"/>
    <w:lvl w:ilvl="0" w:tplc="E4006522">
      <w:start w:val="1"/>
      <w:numFmt w:val="hebrew1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57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611C6"/>
    <w:rsid w:val="00164B30"/>
    <w:rsid w:val="0018292D"/>
    <w:rsid w:val="001A7C42"/>
    <w:rsid w:val="001C4F6D"/>
    <w:rsid w:val="001D55DD"/>
    <w:rsid w:val="001E548A"/>
    <w:rsid w:val="002154EB"/>
    <w:rsid w:val="00275887"/>
    <w:rsid w:val="002A54A3"/>
    <w:rsid w:val="002A7FEA"/>
    <w:rsid w:val="002D7789"/>
    <w:rsid w:val="002E38F4"/>
    <w:rsid w:val="002F197C"/>
    <w:rsid w:val="00325E01"/>
    <w:rsid w:val="00361114"/>
    <w:rsid w:val="003840FE"/>
    <w:rsid w:val="00393C6A"/>
    <w:rsid w:val="003A1D7A"/>
    <w:rsid w:val="003C3927"/>
    <w:rsid w:val="003C3A5C"/>
    <w:rsid w:val="003D1A57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176A"/>
    <w:rsid w:val="004C5538"/>
    <w:rsid w:val="004D65A1"/>
    <w:rsid w:val="004E479D"/>
    <w:rsid w:val="004F3773"/>
    <w:rsid w:val="005028F9"/>
    <w:rsid w:val="00505D36"/>
    <w:rsid w:val="00514BB5"/>
    <w:rsid w:val="00515321"/>
    <w:rsid w:val="00515E5C"/>
    <w:rsid w:val="00534452"/>
    <w:rsid w:val="005371D8"/>
    <w:rsid w:val="00556BE2"/>
    <w:rsid w:val="005A567E"/>
    <w:rsid w:val="005D42E4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352E"/>
    <w:rsid w:val="006C0D4A"/>
    <w:rsid w:val="006C55AF"/>
    <w:rsid w:val="006D0744"/>
    <w:rsid w:val="006D686D"/>
    <w:rsid w:val="006E5942"/>
    <w:rsid w:val="00706164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037D3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908F3"/>
    <w:rsid w:val="00AA062F"/>
    <w:rsid w:val="00AA4752"/>
    <w:rsid w:val="00AC0823"/>
    <w:rsid w:val="00AD0167"/>
    <w:rsid w:val="00AE28C5"/>
    <w:rsid w:val="00AF1C47"/>
    <w:rsid w:val="00B03E2B"/>
    <w:rsid w:val="00B041F7"/>
    <w:rsid w:val="00B311D4"/>
    <w:rsid w:val="00B429D7"/>
    <w:rsid w:val="00B60EE6"/>
    <w:rsid w:val="00B67385"/>
    <w:rsid w:val="00B86F0F"/>
    <w:rsid w:val="00B93390"/>
    <w:rsid w:val="00B93A25"/>
    <w:rsid w:val="00B93DFA"/>
    <w:rsid w:val="00BB393A"/>
    <w:rsid w:val="00BC282E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06A1A"/>
    <w:rsid w:val="00D33979"/>
    <w:rsid w:val="00D66453"/>
    <w:rsid w:val="00D731DA"/>
    <w:rsid w:val="00D969C1"/>
    <w:rsid w:val="00DD5320"/>
    <w:rsid w:val="00DE069A"/>
    <w:rsid w:val="00DE7CC8"/>
    <w:rsid w:val="00DF73FF"/>
    <w:rsid w:val="00E41B31"/>
    <w:rsid w:val="00E56588"/>
    <w:rsid w:val="00E95EEF"/>
    <w:rsid w:val="00EA5191"/>
    <w:rsid w:val="00EA6729"/>
    <w:rsid w:val="00EC303E"/>
    <w:rsid w:val="00EF71D7"/>
    <w:rsid w:val="00F00D41"/>
    <w:rsid w:val="00F0592A"/>
    <w:rsid w:val="00F24DAC"/>
    <w:rsid w:val="00F25ABF"/>
    <w:rsid w:val="00F2690A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57"/>
    <w:pPr>
      <w:bidi/>
      <w:spacing w:before="0" w:after="0" w:line="240" w:lineRule="auto"/>
      <w:jc w:val="both"/>
    </w:pPr>
    <w:rPr>
      <w:rFonts w:ascii="Times New Roman" w:eastAsia="Times New Roman" w:hAnsi="Times New Roman" w:cs="FrankRuehl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eastAsiaTheme="minorHAnsi"/>
      <w:i/>
      <w:iCs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eastAsiaTheme="minorHAnsi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eastAsiaTheme="minorHAnsi"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eastAsiaTheme="minorHAnsi"/>
      <w:sz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eastAsiaTheme="minorHAnsi"/>
      <w:sz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eastAsiaTheme="minorHAnsi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eastAsiaTheme="minorHAnsi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/>
    </w:pPr>
    <w:rPr>
      <w:rFonts w:eastAsiaTheme="minorHAnsi"/>
      <w:sz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/>
      <w:contextualSpacing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Header">
    <w:name w:val="header"/>
    <w:basedOn w:val="Normal"/>
    <w:link w:val="HeaderChar"/>
    <w:rsid w:val="003D1A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1A57"/>
    <w:rPr>
      <w:rFonts w:ascii="Times New Roman" w:eastAsia="Times New Roman" w:hAnsi="Times New Roman" w:cs="FrankRuehl"/>
      <w:sz w:val="26"/>
      <w:szCs w:val="26"/>
      <w:lang w:eastAsia="he-IL"/>
    </w:rPr>
  </w:style>
  <w:style w:type="paragraph" w:styleId="Footer">
    <w:name w:val="footer"/>
    <w:basedOn w:val="Normal"/>
    <w:link w:val="FooterChar"/>
    <w:rsid w:val="003D1A57"/>
    <w:pPr>
      <w:widowControl w:val="0"/>
      <w:tabs>
        <w:tab w:val="center" w:pos="4153"/>
        <w:tab w:val="right" w:pos="8306"/>
      </w:tabs>
    </w:pPr>
    <w:rPr>
      <w:rFonts w:cs="David"/>
    </w:rPr>
  </w:style>
  <w:style w:type="character" w:customStyle="1" w:styleId="FooterChar">
    <w:name w:val="Footer Char"/>
    <w:basedOn w:val="DefaultParagraphFont"/>
    <w:link w:val="Footer"/>
    <w:rsid w:val="003D1A57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3D1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57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57"/>
    <w:pPr>
      <w:bidi/>
      <w:spacing w:before="0" w:after="0" w:line="240" w:lineRule="auto"/>
      <w:jc w:val="both"/>
    </w:pPr>
    <w:rPr>
      <w:rFonts w:ascii="Times New Roman" w:eastAsia="Times New Roman" w:hAnsi="Times New Roman" w:cs="FrankRuehl"/>
      <w:sz w:val="26"/>
      <w:szCs w:val="26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before="120" w:line="360" w:lineRule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eastAsiaTheme="minorHAnsi"/>
      <w:i/>
      <w:iCs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eastAsiaTheme="minorHAnsi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eastAsiaTheme="minorHAnsi"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eastAsiaTheme="minorHAnsi"/>
      <w:sz w:val="24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eastAsiaTheme="minorHAnsi"/>
      <w:sz w:val="24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eastAsiaTheme="minorHAnsi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eastAsiaTheme="minorHAnsi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/>
    </w:pPr>
    <w:rPr>
      <w:rFonts w:eastAsiaTheme="minorHAnsi"/>
      <w:sz w:val="24"/>
      <w:lang w:eastAsia="en-US"/>
    </w:rPr>
  </w:style>
  <w:style w:type="paragraph" w:styleId="ListParagraph">
    <w:name w:val="List Paragraph"/>
    <w:basedOn w:val="Normal"/>
    <w:uiPriority w:val="34"/>
    <w:rsid w:val="00FE3193"/>
    <w:pPr>
      <w:spacing w:before="120" w:after="120" w:line="360" w:lineRule="auto"/>
      <w:ind w:left="720"/>
      <w:contextualSpacing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Header">
    <w:name w:val="header"/>
    <w:basedOn w:val="Normal"/>
    <w:link w:val="HeaderChar"/>
    <w:rsid w:val="003D1A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1A57"/>
    <w:rPr>
      <w:rFonts w:ascii="Times New Roman" w:eastAsia="Times New Roman" w:hAnsi="Times New Roman" w:cs="FrankRuehl"/>
      <w:sz w:val="26"/>
      <w:szCs w:val="26"/>
      <w:lang w:eastAsia="he-IL"/>
    </w:rPr>
  </w:style>
  <w:style w:type="paragraph" w:styleId="Footer">
    <w:name w:val="footer"/>
    <w:basedOn w:val="Normal"/>
    <w:link w:val="FooterChar"/>
    <w:rsid w:val="003D1A57"/>
    <w:pPr>
      <w:widowControl w:val="0"/>
      <w:tabs>
        <w:tab w:val="center" w:pos="4153"/>
        <w:tab w:val="right" w:pos="8306"/>
      </w:tabs>
    </w:pPr>
    <w:rPr>
      <w:rFonts w:cs="David"/>
    </w:rPr>
  </w:style>
  <w:style w:type="character" w:customStyle="1" w:styleId="FooterChar">
    <w:name w:val="Footer Char"/>
    <w:basedOn w:val="DefaultParagraphFont"/>
    <w:link w:val="Footer"/>
    <w:rsid w:val="003D1A57"/>
    <w:rPr>
      <w:rFonts w:ascii="Times New Roman" w:eastAsia="Times New Roman" w:hAnsi="Times New Roman" w:cs="David"/>
      <w:sz w:val="26"/>
      <w:szCs w:val="26"/>
      <w:lang w:eastAsia="he-IL"/>
    </w:rPr>
  </w:style>
  <w:style w:type="character" w:styleId="Hyperlink">
    <w:name w:val="Hyperlink"/>
    <w:rsid w:val="003D1A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57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savigail\AppData\Local\Temp\notes4DFC0C\www.mof.gov.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savigail\AppData\Local\Temp\notes4DFC0C\www.mof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B97D-6E21-4764-A4AE-369EF4D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זאב תמיר</dc:creator>
  <cp:lastModifiedBy>אביגיל פז</cp:lastModifiedBy>
  <cp:revision>2</cp:revision>
  <cp:lastPrinted>2013-05-22T13:23:00Z</cp:lastPrinted>
  <dcterms:created xsi:type="dcterms:W3CDTF">2013-05-23T06:10:00Z</dcterms:created>
  <dcterms:modified xsi:type="dcterms:W3CDTF">2013-05-23T06:10:00Z</dcterms:modified>
</cp:coreProperties>
</file>